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81D" w:rsidRDefault="008B5FEF" w:rsidP="0074721C">
      <w:pPr>
        <w:pStyle w:val="Title"/>
      </w:pPr>
      <w:r>
        <w:t>Training Legal Issues</w:t>
      </w:r>
      <w:r w:rsidR="00E07C8C">
        <w:t xml:space="preserve"> and compliance with the law</w:t>
      </w:r>
    </w:p>
    <w:p w:rsidR="00E07C8C" w:rsidRPr="00E07C8C" w:rsidRDefault="00E07C8C" w:rsidP="00E07C8C">
      <w:bookmarkStart w:id="0" w:name="_GoBack"/>
      <w:bookmarkEnd w:id="0"/>
    </w:p>
    <w:p w:rsidR="008B5FEF" w:rsidRDefault="008B5FEF" w:rsidP="008B5FEF"/>
    <w:p w:rsidR="008B5FEF" w:rsidRDefault="008B5FEF" w:rsidP="008B5FEF">
      <w:r>
        <w:t>Citation for the information below : please cite some of the information below</w:t>
      </w:r>
    </w:p>
    <w:p w:rsidR="008B5FEF" w:rsidRDefault="008B5FEF" w:rsidP="008B5FEF">
      <w:pPr>
        <w:rPr>
          <w:rFonts w:ascii="Roboto" w:hAnsi="Roboto"/>
          <w:color w:val="3C3C3C"/>
          <w:sz w:val="21"/>
          <w:szCs w:val="21"/>
          <w:shd w:val="clear" w:color="auto" w:fill="F1F1FA"/>
        </w:rPr>
      </w:pPr>
      <w:r>
        <w:rPr>
          <w:rFonts w:ascii="Roboto" w:hAnsi="Roboto"/>
          <w:color w:val="3C3C3C"/>
          <w:sz w:val="21"/>
          <w:szCs w:val="21"/>
          <w:shd w:val="clear" w:color="auto" w:fill="F1F1FA"/>
        </w:rPr>
        <w:t>Noe, R. (2016).</w:t>
      </w:r>
      <w:r>
        <w:rPr>
          <w:rStyle w:val="apple-converted-space"/>
          <w:rFonts w:ascii="Roboto" w:hAnsi="Roboto"/>
          <w:color w:val="3C3C3C"/>
          <w:sz w:val="21"/>
          <w:szCs w:val="21"/>
          <w:shd w:val="clear" w:color="auto" w:fill="F1F1FA"/>
        </w:rPr>
        <w:t> </w:t>
      </w:r>
      <w:r>
        <w:rPr>
          <w:rStyle w:val="Emphasis"/>
          <w:rFonts w:ascii="Roboto" w:hAnsi="Roboto"/>
          <w:color w:val="3C3C3C"/>
          <w:sz w:val="21"/>
          <w:szCs w:val="21"/>
          <w:shd w:val="clear" w:color="auto" w:fill="F1F1FA"/>
        </w:rPr>
        <w:t>Employee Training, 7th Edition</w:t>
      </w:r>
      <w:r>
        <w:rPr>
          <w:rFonts w:ascii="Roboto" w:hAnsi="Roboto"/>
          <w:color w:val="3C3C3C"/>
          <w:sz w:val="21"/>
          <w:szCs w:val="21"/>
          <w:shd w:val="clear" w:color="auto" w:fill="F1F1FA"/>
        </w:rPr>
        <w:t xml:space="preserve">. [MBS Direct]. Retrieved </w:t>
      </w:r>
    </w:p>
    <w:p w:rsidR="008B5FEF" w:rsidRPr="008B5FEF" w:rsidRDefault="008B5FEF" w:rsidP="008B5FEF">
      <w:r>
        <w:rPr>
          <w:rFonts w:ascii="Roboto" w:hAnsi="Roboto"/>
          <w:color w:val="3C3C3C"/>
          <w:sz w:val="21"/>
          <w:szCs w:val="21"/>
          <w:shd w:val="clear" w:color="auto" w:fill="F1F1FA"/>
        </w:rPr>
        <w:tab/>
      </w:r>
      <w:r>
        <w:rPr>
          <w:rFonts w:ascii="Roboto" w:hAnsi="Roboto"/>
          <w:color w:val="3C3C3C"/>
          <w:sz w:val="21"/>
          <w:szCs w:val="21"/>
          <w:shd w:val="clear" w:color="auto" w:fill="F1F1FA"/>
        </w:rPr>
        <w:t>from</w:t>
      </w:r>
      <w:r>
        <w:rPr>
          <w:rStyle w:val="apple-converted-space"/>
          <w:rFonts w:ascii="Roboto" w:hAnsi="Roboto"/>
          <w:color w:val="3C3C3C"/>
          <w:sz w:val="21"/>
          <w:szCs w:val="21"/>
          <w:shd w:val="clear" w:color="auto" w:fill="F1F1FA"/>
        </w:rPr>
        <w:t> </w:t>
      </w:r>
      <w:r>
        <w:rPr>
          <w:rStyle w:val="retrieved-from"/>
          <w:rFonts w:ascii="Roboto" w:hAnsi="Roboto"/>
          <w:color w:val="3C3C3C"/>
          <w:sz w:val="21"/>
          <w:szCs w:val="21"/>
          <w:shd w:val="clear" w:color="auto" w:fill="F1F1FA"/>
        </w:rPr>
        <w:t>https://mbsdirect.vitalsource.com/#/books/9780077774547/</w:t>
      </w:r>
    </w:p>
    <w:p w:rsidR="008B5FEF" w:rsidRDefault="008B5FEF" w:rsidP="008B5FEF"/>
    <w:p w:rsidR="008B5FEF" w:rsidRPr="008B5FEF" w:rsidRDefault="008B5FEF" w:rsidP="008B5FEF">
      <w:pPr>
        <w:spacing w:before="240" w:after="24" w:line="240" w:lineRule="auto"/>
        <w:outlineLvl w:val="3"/>
        <w:rPr>
          <w:rFonts w:ascii="TimesLTStd" w:eastAsia="Times New Roman" w:hAnsi="TimesLTStd" w:cs="Times New Roman"/>
          <w:b/>
          <w:bCs/>
          <w:i/>
          <w:iCs/>
          <w:sz w:val="23"/>
          <w:szCs w:val="23"/>
        </w:rPr>
      </w:pPr>
      <w:r w:rsidRPr="008B5FEF">
        <w:rPr>
          <w:rFonts w:ascii="TimesLTStd" w:eastAsia="Times New Roman" w:hAnsi="TimesLTStd" w:cs="Times New Roman"/>
          <w:b/>
          <w:bCs/>
          <w:i/>
          <w:iCs/>
          <w:sz w:val="23"/>
          <w:szCs w:val="23"/>
        </w:rPr>
        <w:t>Failing to Provide Training or Providing Inadequate Training</w:t>
      </w:r>
    </w:p>
    <w:p w:rsidR="008B5FEF" w:rsidRPr="008B5FEF" w:rsidRDefault="008B5FEF" w:rsidP="008B5FEF">
      <w:pPr>
        <w:spacing w:after="0" w:line="240" w:lineRule="auto"/>
        <w:jc w:val="both"/>
        <w:rPr>
          <w:rFonts w:ascii="TimesLTStd" w:eastAsia="Times New Roman" w:hAnsi="TimesLTStd" w:cs="Times New Roman"/>
          <w:color w:val="000000"/>
          <w:sz w:val="20"/>
          <w:szCs w:val="20"/>
        </w:rPr>
      </w:pPr>
      <w:r w:rsidRPr="008B5FEF">
        <w:rPr>
          <w:rFonts w:ascii="TimesLTStd" w:eastAsia="Times New Roman" w:hAnsi="TimesLTStd" w:cs="Times New Roman"/>
          <w:color w:val="000000"/>
          <w:sz w:val="20"/>
          <w:szCs w:val="20"/>
        </w:rPr>
        <w:t>To comply with a wide range of laws and regulations, companies are required to show that employees not only have completed training programs, but also are applying their new knowledge on the job. Most companies provide training to reduce the potential for a hostile work environment for employees protected by Title VII of the Civil Rights Act (covering race, color, gender, religion, nationality, and national origin), the Age Discrimination in Employment Act (ADEA; covering age), or the Americans with Disabilities Act (ADA; covering disability).</w:t>
      </w:r>
      <w:hyperlink r:id="rId4" w:anchor="fn12" w:history="1">
        <w:r w:rsidRPr="008B5FEF">
          <w:rPr>
            <w:rFonts w:ascii="TimesLTStd" w:eastAsia="Times New Roman" w:hAnsi="TimesLTStd" w:cs="Times New Roman"/>
            <w:color w:val="0000FF"/>
            <w:sz w:val="20"/>
            <w:szCs w:val="20"/>
            <w:u w:val="single"/>
            <w:vertAlign w:val="superscript"/>
          </w:rPr>
          <w:t>12</w:t>
        </w:r>
      </w:hyperlink>
      <w:r w:rsidRPr="008B5FEF">
        <w:rPr>
          <w:rFonts w:ascii="TimesLTStd" w:eastAsia="Times New Roman" w:hAnsi="TimesLTStd" w:cs="Times New Roman"/>
          <w:color w:val="000000"/>
          <w:sz w:val="20"/>
          <w:szCs w:val="20"/>
        </w:rPr>
        <w:t> For example, the U.S. Supreme Court considers sexual harassment training to be an important factor for companies that wish to avoid punitive damages in sexual harassment cases. Employers must also train employees to comply with practices designed to prevent harassment of any class protected by Title VII.</w:t>
      </w:r>
    </w:p>
    <w:p w:rsidR="008B5FEF" w:rsidRDefault="008B5FEF" w:rsidP="008B5FEF"/>
    <w:p w:rsidR="008B5FEF" w:rsidRDefault="008B5FEF" w:rsidP="008B5FEF">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Federal laws may require a certain number of training hours and types of training for employees in certain industries. For example, initial training for flight attendants must include how to handle passengers, use galley equipment, evacuate the airplane, and use the public address system. The safe landing of U.S. Airways Flight 1549 on the Hudson River in 2009 was one of the rare moments when a U.S. passenger plane completed a forced landing without loss of life of passengers or crew. As a result, the Federal Aviation Administration (FAA) implemented new training regulations and rules for airlines, calling for hands-on drills on the use of emergency equipment and procedures for all flight attendants.</w:t>
      </w:r>
      <w:hyperlink r:id="rId5" w:anchor="fn13" w:history="1">
        <w:r>
          <w:rPr>
            <w:rStyle w:val="Hyperlink"/>
            <w:rFonts w:ascii="TimesLTStd" w:hAnsi="TimesLTStd"/>
            <w:sz w:val="20"/>
            <w:szCs w:val="20"/>
            <w:vertAlign w:val="superscript"/>
          </w:rPr>
          <w:t>13</w:t>
        </w:r>
      </w:hyperlink>
    </w:p>
    <w:p w:rsidR="008B5FEF" w:rsidRDefault="008B5FEF" w:rsidP="008B5FEF">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The FAA has also introduced training standards requiring scenario-based simulations to help pilots operate today’s new aircraft, which have integrated systems, greater speed, range, and altitude, and new multifunctional flight displays.</w:t>
      </w:r>
      <w:hyperlink r:id="rId6" w:anchor="fn14" w:history="1">
        <w:r>
          <w:rPr>
            <w:rStyle w:val="Hyperlink"/>
            <w:rFonts w:ascii="TimesLTStd" w:hAnsi="TimesLTStd"/>
            <w:sz w:val="20"/>
            <w:szCs w:val="20"/>
            <w:vertAlign w:val="superscript"/>
          </w:rPr>
          <w:t>14</w:t>
        </w:r>
      </w:hyperlink>
    </w:p>
    <w:p w:rsidR="008B5FEF" w:rsidRDefault="008B5FEF" w:rsidP="008B5FEF">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Companies in health care are required to comply with the Health Insurance Portability and Accountability Act (HIPAA); companies in finance are required to comply with the Bank Secrecy Act; and companies in the gaming industry (such as casinos) are required to train employees on how to handle money and report suspicious activity.</w:t>
      </w:r>
      <w:hyperlink r:id="rId7" w:anchor="fn15" w:history="1">
        <w:r>
          <w:rPr>
            <w:rStyle w:val="Hyperlink"/>
            <w:rFonts w:ascii="TimesLTStd" w:hAnsi="TimesLTStd"/>
            <w:sz w:val="20"/>
            <w:szCs w:val="20"/>
            <w:vertAlign w:val="superscript"/>
          </w:rPr>
          <w:t>15</w:t>
        </w:r>
      </w:hyperlink>
      <w:r>
        <w:rPr>
          <w:rStyle w:val="apple-converted-space"/>
          <w:rFonts w:ascii="TimesLTStd" w:hAnsi="TimesLTStd"/>
          <w:color w:val="000000"/>
          <w:sz w:val="20"/>
          <w:szCs w:val="20"/>
        </w:rPr>
        <w:t> </w:t>
      </w:r>
      <w:r>
        <w:rPr>
          <w:rFonts w:ascii="TimesLTStd" w:hAnsi="TimesLTStd"/>
          <w:color w:val="000000"/>
          <w:sz w:val="20"/>
          <w:szCs w:val="20"/>
        </w:rPr>
        <w:t>The increase in the number of incidents in the United States in which the use of force by police officers has been questioned has resulted increased scrutiny of their training. For example, a murder charge brought against a police officer in the shooting of a fleeing man has resulted in examining whether the twelve weeks of basic training for officers is long enough and whether enough attention is given to when and how to use force and deal with the public.</w:t>
      </w:r>
      <w:hyperlink r:id="rId8" w:anchor="fn16" w:history="1">
        <w:r>
          <w:rPr>
            <w:rStyle w:val="Hyperlink"/>
            <w:rFonts w:ascii="TimesLTStd" w:hAnsi="TimesLTStd"/>
            <w:sz w:val="20"/>
            <w:szCs w:val="20"/>
            <w:vertAlign w:val="superscript"/>
          </w:rPr>
          <w:t>16</w:t>
        </w:r>
      </w:hyperlink>
      <w:r>
        <w:rPr>
          <w:rStyle w:val="apple-converted-space"/>
          <w:rFonts w:ascii="TimesLTStd" w:hAnsi="TimesLTStd"/>
          <w:color w:val="000000"/>
          <w:sz w:val="20"/>
          <w:szCs w:val="20"/>
        </w:rPr>
        <w:t> </w:t>
      </w:r>
      <w:r>
        <w:rPr>
          <w:rFonts w:ascii="TimesLTStd" w:hAnsi="TimesLTStd"/>
          <w:color w:val="000000"/>
          <w:sz w:val="20"/>
          <w:szCs w:val="20"/>
        </w:rPr>
        <w:t>Legislation can also require training that is related to providing a drug-free workplace (e.g., training about drug abuse and making counseling available) and a safe workplace (e.g., training about the handling of hazardous materials and the use of safety equipment as dictated by the Occupational Safety and Health Act/OSHA).</w:t>
      </w:r>
    </w:p>
    <w:p w:rsidR="008B5FEF" w:rsidRPr="008B5FEF" w:rsidRDefault="008B5FEF" w:rsidP="008B5FEF"/>
    <w:p w:rsidR="008B5FEF" w:rsidRDefault="008B5FEF" w:rsidP="008B5FEF">
      <w:pPr>
        <w:pStyle w:val="Heading4"/>
        <w:spacing w:before="240" w:beforeAutospacing="0" w:after="24" w:afterAutospacing="0"/>
        <w:rPr>
          <w:rFonts w:ascii="TimesLTStd" w:hAnsi="TimesLTStd"/>
          <w:i/>
          <w:iCs/>
          <w:sz w:val="23"/>
          <w:szCs w:val="23"/>
        </w:rPr>
      </w:pPr>
      <w:r>
        <w:rPr>
          <w:rFonts w:ascii="TimesLTStd" w:hAnsi="TimesLTStd"/>
          <w:i/>
          <w:iCs/>
          <w:sz w:val="23"/>
          <w:szCs w:val="23"/>
        </w:rPr>
        <w:t>Incurring Employee Injury During a Training Activity</w:t>
      </w:r>
    </w:p>
    <w:p w:rsidR="008B5FEF" w:rsidRDefault="008B5FEF" w:rsidP="008B5FEF">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OJT and simulations often involve the use of work tools and equipment (e.g., welding machinery, printing press) that could cause injury if incorrectly used. Workers’ compensation laws in many states make employers responsible for paying employees their</w:t>
      </w:r>
      <w:r>
        <w:rPr>
          <w:rStyle w:val="pagebreak"/>
          <w:rFonts w:ascii="TimesLTStd" w:hAnsi="TimesLTStd"/>
          <w:color w:val="7F7F7F"/>
          <w:sz w:val="20"/>
          <w:szCs w:val="20"/>
        </w:rPr>
        <w:t>449</w:t>
      </w:r>
      <w:r>
        <w:rPr>
          <w:rFonts w:ascii="TimesLTStd" w:hAnsi="TimesLTStd"/>
          <w:color w:val="000000"/>
          <w:sz w:val="20"/>
          <w:szCs w:val="20"/>
        </w:rPr>
        <w:t xml:space="preserve">salary and/or providing them with a financial settlement for injuries received during any </w:t>
      </w:r>
      <w:r>
        <w:rPr>
          <w:rFonts w:ascii="TimesLTStd" w:hAnsi="TimesLTStd"/>
          <w:color w:val="000000"/>
          <w:sz w:val="20"/>
          <w:szCs w:val="20"/>
        </w:rPr>
        <w:lastRenderedPageBreak/>
        <w:t>employment-related activity such as training. Managers should ensure that (1) employees are warned of potential dangers from incorrectly using equipment and (2) safety equipment is used.</w:t>
      </w:r>
    </w:p>
    <w:p w:rsidR="008B5FEF" w:rsidRDefault="008B5FEF" w:rsidP="008B5FEF">
      <w:pPr>
        <w:pStyle w:val="Heading4"/>
        <w:spacing w:before="240" w:beforeAutospacing="0" w:after="24" w:afterAutospacing="0"/>
        <w:rPr>
          <w:rFonts w:ascii="TimesLTStd" w:hAnsi="TimesLTStd"/>
          <w:i/>
          <w:iCs/>
          <w:sz w:val="23"/>
          <w:szCs w:val="23"/>
        </w:rPr>
      </w:pPr>
      <w:r>
        <w:rPr>
          <w:rFonts w:ascii="TimesLTStd" w:hAnsi="TimesLTStd"/>
          <w:i/>
          <w:iCs/>
          <w:sz w:val="23"/>
          <w:szCs w:val="23"/>
        </w:rPr>
        <w:t>Incurring Injuries to Employees or Others Outside a Training Session</w:t>
      </w:r>
    </w:p>
    <w:p w:rsidR="008B5FEF" w:rsidRDefault="008B5FEF" w:rsidP="008B5FEF">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Managers should ensure that trainees have the necessary level of competence in knowledge, skills, and behaviors before they are allowed to operate equipment or interact with customers. Even if a company pays for training to be conducted by a vendor, it is still liable for injuries or damages resulting from the actions of poorly, incorrectly, or incompletely trained employees. A company that contracts out training to a vendor or consultant should ensure that the vendor has liability insurance, be sure that the trainers are competent, and determine if there has been previous litigation against the trainer or the vendor providing the training. Also, trainers should be sure to keep copies of notes, activities, and training manuals that show that training procedures were correct and followed the steps provided by licensing or certification agencies (if appropriate).</w:t>
      </w:r>
    </w:p>
    <w:p w:rsidR="008B5FEF" w:rsidRDefault="008B5FEF" w:rsidP="008B5FEF">
      <w:pPr>
        <w:pStyle w:val="Heading4"/>
        <w:spacing w:before="240" w:beforeAutospacing="0" w:after="24" w:afterAutospacing="0"/>
        <w:rPr>
          <w:rFonts w:ascii="TimesLTStd" w:hAnsi="TimesLTStd"/>
          <w:i/>
          <w:iCs/>
          <w:sz w:val="23"/>
          <w:szCs w:val="23"/>
        </w:rPr>
      </w:pPr>
      <w:r>
        <w:rPr>
          <w:rFonts w:ascii="TimesLTStd" w:hAnsi="TimesLTStd"/>
          <w:i/>
          <w:iCs/>
          <w:sz w:val="23"/>
          <w:szCs w:val="23"/>
        </w:rPr>
        <w:t>Incurring Breach of Confidentiality or Defamation</w:t>
      </w:r>
    </w:p>
    <w:p w:rsidR="008B5FEF" w:rsidRDefault="008B5FEF" w:rsidP="008B5FEF">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Managers should ensure that information placed in employees’ files regarding performance in training activities is accurate. Also, before discussing an employee’s performance in training with other employees or using training performance information for promotion or salary decisions, managers should tell employees that training performance will be used in that manner.</w:t>
      </w:r>
    </w:p>
    <w:p w:rsidR="008B5FEF" w:rsidRDefault="008B5FEF" w:rsidP="008B5FEF">
      <w:pPr>
        <w:pStyle w:val="Heading4"/>
        <w:spacing w:before="240" w:beforeAutospacing="0" w:after="24" w:afterAutospacing="0"/>
        <w:rPr>
          <w:rFonts w:ascii="TimesLTStd" w:hAnsi="TimesLTStd"/>
          <w:i/>
          <w:iCs/>
          <w:sz w:val="23"/>
          <w:szCs w:val="23"/>
        </w:rPr>
      </w:pPr>
      <w:r>
        <w:rPr>
          <w:rFonts w:ascii="TimesLTStd" w:hAnsi="TimesLTStd"/>
          <w:i/>
          <w:iCs/>
          <w:sz w:val="23"/>
          <w:szCs w:val="23"/>
        </w:rPr>
        <w:t>Reproducing and Using Copyrighted Material in Training Classes Without Permission</w:t>
      </w:r>
    </w:p>
    <w:p w:rsidR="008B5FEF" w:rsidRDefault="008B5FEF" w:rsidP="008B5FEF">
      <w:pPr>
        <w:pStyle w:val="bch-tx-first"/>
        <w:spacing w:before="0" w:beforeAutospacing="0" w:after="0" w:afterAutospacing="0"/>
        <w:jc w:val="both"/>
        <w:rPr>
          <w:rFonts w:ascii="TimesLTStd" w:hAnsi="TimesLTStd"/>
          <w:color w:val="000000"/>
          <w:sz w:val="20"/>
          <w:szCs w:val="20"/>
        </w:rPr>
      </w:pPr>
      <w:r>
        <w:rPr>
          <w:rStyle w:val="bold"/>
          <w:rFonts w:ascii="TimesLTStd" w:hAnsi="TimesLTStd"/>
          <w:b/>
          <w:bCs/>
          <w:color w:val="000000"/>
          <w:sz w:val="20"/>
          <w:szCs w:val="20"/>
        </w:rPr>
        <w:t>Copyrights</w:t>
      </w:r>
      <w:r>
        <w:rPr>
          <w:rStyle w:val="apple-converted-space"/>
          <w:rFonts w:ascii="TimesLTStd" w:hAnsi="TimesLTStd"/>
          <w:color w:val="000000"/>
          <w:sz w:val="20"/>
          <w:szCs w:val="20"/>
        </w:rPr>
        <w:t> </w:t>
      </w:r>
      <w:r>
        <w:rPr>
          <w:rFonts w:ascii="TimesLTStd" w:hAnsi="TimesLTStd"/>
          <w:color w:val="000000"/>
          <w:sz w:val="20"/>
          <w:szCs w:val="20"/>
        </w:rPr>
        <w:t>protect the expression of an idea (e.g., a training manual for a software program) but not the ideas that the material contains (e.g., the use of help windows in the software program).</w:t>
      </w:r>
      <w:hyperlink r:id="rId9" w:anchor="fn17" w:history="1">
        <w:r>
          <w:rPr>
            <w:rStyle w:val="Hyperlink"/>
            <w:rFonts w:ascii="TimesLTStd" w:hAnsi="TimesLTStd"/>
            <w:sz w:val="20"/>
            <w:szCs w:val="20"/>
            <w:vertAlign w:val="superscript"/>
          </w:rPr>
          <w:t>17</w:t>
        </w:r>
      </w:hyperlink>
      <w:r>
        <w:rPr>
          <w:rStyle w:val="apple-converted-space"/>
          <w:rFonts w:ascii="TimesLTStd" w:hAnsi="TimesLTStd"/>
          <w:color w:val="000000"/>
          <w:sz w:val="20"/>
          <w:szCs w:val="20"/>
        </w:rPr>
        <w:t> </w:t>
      </w:r>
      <w:r>
        <w:rPr>
          <w:rFonts w:ascii="TimesLTStd" w:hAnsi="TimesLTStd"/>
          <w:color w:val="000000"/>
          <w:sz w:val="20"/>
          <w:szCs w:val="20"/>
        </w:rPr>
        <w:t>Copyrights also prohibit others from creating a product based on the original work and from copying, broadcasting, or publishing the product without permission.</w:t>
      </w:r>
    </w:p>
    <w:p w:rsidR="008B5FEF" w:rsidRDefault="008B5FEF" w:rsidP="008B5FEF">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The use of videotapes, learning aids, manuals, and other copyrighted materials in training classes without obtaining permission from the owner of the material is illegal. Managers should ensure that all training materials are purchased from the vendor or consultant who developed them, or that permission to reproduce materials has been obtained. Material on Internet sites is not necessarily free from copyright law.</w:t>
      </w:r>
      <w:hyperlink r:id="rId10" w:anchor="fn18" w:history="1">
        <w:r>
          <w:rPr>
            <w:rStyle w:val="Hyperlink"/>
            <w:rFonts w:ascii="TimesLTStd" w:hAnsi="TimesLTStd"/>
            <w:sz w:val="20"/>
            <w:szCs w:val="20"/>
            <w:vertAlign w:val="superscript"/>
          </w:rPr>
          <w:t>18</w:t>
        </w:r>
      </w:hyperlink>
      <w:r>
        <w:rPr>
          <w:rStyle w:val="apple-converted-space"/>
          <w:rFonts w:ascii="TimesLTStd" w:hAnsi="TimesLTStd"/>
          <w:color w:val="000000"/>
          <w:sz w:val="20"/>
          <w:szCs w:val="20"/>
        </w:rPr>
        <w:t> </w:t>
      </w:r>
      <w:r>
        <w:rPr>
          <w:rFonts w:ascii="TimesLTStd" w:hAnsi="TimesLTStd"/>
          <w:color w:val="000000"/>
          <w:sz w:val="20"/>
          <w:szCs w:val="20"/>
        </w:rPr>
        <w:t>Many websites and published material are governed by the fair use doctrine, which means that you can use small amounts of copyrighted material without asking permission or paying a fee so long as the use meets four standards. The standards relate to (1) the purpose for which the copyrighted materials are being used, (2) what the copyrighted work is, (3) the proportion of the copyrighted material you are using, and (4) how much money the copyright owner can lose as a result of the use. Republishing or repackaging under your own name material that you took from the Internet can be a violation of copyright law. For example, Crisp Learning, a small training company, frequently finds itself in court defending copyright issues. Crisp Learning develops and sells video and training courses that deal with skills such as business report writing and time management. The series of courses, known as the Fifty-Minute series, is popular because it is easily applied and can be completed in a short</w:t>
      </w:r>
    </w:p>
    <w:p w:rsidR="008B5FEF" w:rsidRDefault="008B5FEF" w:rsidP="008B5FEF">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period of time. Crisp Learning has found that copyright violators have actually retyped its books and sold them as their own work.</w:t>
      </w:r>
    </w:p>
    <w:p w:rsidR="008B5FEF" w:rsidRDefault="008B5FEF" w:rsidP="008B5FEF">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Violating copyright can be expensive. Copyright violators can end up paying expensive legal fees and paying damages that are more expensive than what it would have cost to legally purchase the training materials. To obtain copyright permission, you need to directly contact the owners of the material and explain how the material will be used and how ownership will be cited. Another way to get copyright permission is to seek permission from organizations such as the Copyright Clearance Center (</w:t>
      </w:r>
      <w:hyperlink r:id="rId11" w:history="1">
        <w:r>
          <w:rPr>
            <w:rStyle w:val="Hyperlink"/>
            <w:rFonts w:ascii="TimesLTStd" w:hAnsi="TimesLTStd"/>
            <w:i/>
            <w:iCs/>
            <w:sz w:val="20"/>
            <w:szCs w:val="20"/>
          </w:rPr>
          <w:t>www.copyright.com</w:t>
        </w:r>
      </w:hyperlink>
      <w:r>
        <w:rPr>
          <w:rFonts w:ascii="TimesLTStd" w:hAnsi="TimesLTStd"/>
          <w:color w:val="000000"/>
          <w:sz w:val="20"/>
          <w:szCs w:val="20"/>
        </w:rPr>
        <w:t>) or iCopyright.com.</w:t>
      </w:r>
    </w:p>
    <w:p w:rsidR="008B5FEF" w:rsidRDefault="008B5FEF" w:rsidP="008B5FEF">
      <w:pPr>
        <w:pStyle w:val="Heading4"/>
        <w:spacing w:before="240" w:beforeAutospacing="0" w:after="24" w:afterAutospacing="0"/>
        <w:rPr>
          <w:rFonts w:ascii="TimesLTStd" w:hAnsi="TimesLTStd"/>
          <w:i/>
          <w:iCs/>
          <w:sz w:val="23"/>
          <w:szCs w:val="23"/>
        </w:rPr>
      </w:pPr>
      <w:r>
        <w:rPr>
          <w:rFonts w:ascii="TimesLTStd" w:hAnsi="TimesLTStd"/>
          <w:i/>
          <w:iCs/>
          <w:sz w:val="23"/>
          <w:szCs w:val="23"/>
        </w:rPr>
        <w:t>Excluding Women, Minorities, and Older Employees from Training Programs</w:t>
      </w:r>
    </w:p>
    <w:p w:rsidR="008B5FEF" w:rsidRDefault="008B5FEF" w:rsidP="008B5FEF">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Two pieces of legislation make it illegal for employers to exclude women, minorities, or older persons from training programs.</w:t>
      </w:r>
      <w:r>
        <w:rPr>
          <w:rStyle w:val="apple-converted-space"/>
          <w:rFonts w:ascii="TimesLTStd" w:hAnsi="TimesLTStd"/>
          <w:color w:val="000000"/>
          <w:sz w:val="20"/>
          <w:szCs w:val="20"/>
        </w:rPr>
        <w:t> </w:t>
      </w:r>
      <w:r>
        <w:rPr>
          <w:rStyle w:val="bold"/>
          <w:rFonts w:ascii="TimesLTStd" w:hAnsi="TimesLTStd"/>
          <w:b/>
          <w:bCs/>
          <w:color w:val="000000"/>
          <w:sz w:val="20"/>
          <w:szCs w:val="20"/>
        </w:rPr>
        <w:t>Title VII of the Civil Rights Act</w:t>
      </w:r>
      <w:r>
        <w:rPr>
          <w:rStyle w:val="apple-converted-space"/>
          <w:rFonts w:ascii="TimesLTStd" w:hAnsi="TimesLTStd"/>
          <w:color w:val="000000"/>
          <w:sz w:val="20"/>
          <w:szCs w:val="20"/>
        </w:rPr>
        <w:t> </w:t>
      </w:r>
      <w:r>
        <w:rPr>
          <w:rFonts w:ascii="TimesLTStd" w:hAnsi="TimesLTStd"/>
          <w:color w:val="000000"/>
          <w:sz w:val="20"/>
          <w:szCs w:val="20"/>
        </w:rPr>
        <w:t>(amended in 1991) makes it illegal to deny access to employment or deprive a person employment because of the person’s race, color, religion, gender, or national origin. The</w:t>
      </w:r>
      <w:r>
        <w:rPr>
          <w:rStyle w:val="apple-converted-space"/>
          <w:rFonts w:ascii="TimesLTStd" w:hAnsi="TimesLTStd"/>
          <w:color w:val="000000"/>
          <w:sz w:val="20"/>
          <w:szCs w:val="20"/>
        </w:rPr>
        <w:t> </w:t>
      </w:r>
      <w:r>
        <w:rPr>
          <w:rStyle w:val="bold"/>
          <w:rFonts w:ascii="TimesLTStd" w:hAnsi="TimesLTStd"/>
          <w:b/>
          <w:bCs/>
          <w:color w:val="000000"/>
          <w:sz w:val="20"/>
          <w:szCs w:val="20"/>
        </w:rPr>
        <w:t>Age Discrimination in Employment Act (ADEA)</w:t>
      </w:r>
      <w:r>
        <w:rPr>
          <w:rStyle w:val="apple-converted-space"/>
          <w:rFonts w:ascii="TimesLTStd" w:hAnsi="TimesLTStd"/>
          <w:color w:val="000000"/>
          <w:sz w:val="20"/>
          <w:szCs w:val="20"/>
        </w:rPr>
        <w:t> </w:t>
      </w:r>
      <w:r>
        <w:rPr>
          <w:rFonts w:ascii="TimesLTStd" w:hAnsi="TimesLTStd"/>
          <w:color w:val="000000"/>
          <w:sz w:val="20"/>
          <w:szCs w:val="20"/>
        </w:rPr>
        <w:t>prohibits discrimination against persons who are aged 40 or older. The Equal Employment Opportunity Commission (EEOC) is responsible for enforcing both the Civil Rights Act and the ADEA.</w:t>
      </w:r>
    </w:p>
    <w:p w:rsidR="008B5FEF" w:rsidRDefault="008B5FEF" w:rsidP="008B5FEF">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Although these two pieces of legislation have existed for several years, a study by the U.S. Department of Labor found that training experiences necessary for promotion are not as available or accessible to women and minorities as they are to white males.</w:t>
      </w:r>
      <w:hyperlink r:id="rId12" w:anchor="fn19" w:history="1">
        <w:r>
          <w:rPr>
            <w:rStyle w:val="Hyperlink"/>
            <w:rFonts w:ascii="TimesLTStd" w:hAnsi="TimesLTStd"/>
            <w:sz w:val="20"/>
            <w:szCs w:val="20"/>
            <w:vertAlign w:val="superscript"/>
          </w:rPr>
          <w:t>19</w:t>
        </w:r>
      </w:hyperlink>
      <w:r>
        <w:rPr>
          <w:rStyle w:val="apple-converted-space"/>
          <w:rFonts w:ascii="TimesLTStd" w:hAnsi="TimesLTStd"/>
          <w:color w:val="000000"/>
          <w:sz w:val="20"/>
          <w:szCs w:val="20"/>
        </w:rPr>
        <w:t> </w:t>
      </w:r>
      <w:r>
        <w:rPr>
          <w:rFonts w:ascii="TimesLTStd" w:hAnsi="TimesLTStd"/>
          <w:color w:val="000000"/>
          <w:sz w:val="20"/>
          <w:szCs w:val="20"/>
        </w:rPr>
        <w:t xml:space="preserve">Women, minorities, and older employees sometimes are illegally excluded from training </w:t>
      </w:r>
      <w:r>
        <w:rPr>
          <w:rFonts w:ascii="TimesLTStd" w:hAnsi="TimesLTStd"/>
          <w:color w:val="000000"/>
          <w:sz w:val="20"/>
          <w:szCs w:val="20"/>
        </w:rPr>
        <w:lastRenderedPageBreak/>
        <w:t>programs, either by not being made aware of opportunities for training or by purposeful exclusion from enrollment in training programs. Denial of training opportunities and better treatment of younger employees can be used to support claims of age discrimination.</w:t>
      </w:r>
      <w:hyperlink r:id="rId13" w:anchor="fn20" w:history="1">
        <w:r>
          <w:rPr>
            <w:rStyle w:val="Hyperlink"/>
            <w:rFonts w:ascii="TimesLTStd" w:hAnsi="TimesLTStd"/>
            <w:sz w:val="20"/>
            <w:szCs w:val="20"/>
            <w:vertAlign w:val="superscript"/>
          </w:rPr>
          <w:t>20</w:t>
        </w:r>
      </w:hyperlink>
      <w:r>
        <w:rPr>
          <w:rStyle w:val="apple-converted-space"/>
          <w:rFonts w:ascii="TimesLTStd" w:hAnsi="TimesLTStd"/>
          <w:color w:val="000000"/>
          <w:sz w:val="20"/>
          <w:szCs w:val="20"/>
        </w:rPr>
        <w:t> </w:t>
      </w:r>
      <w:r>
        <w:rPr>
          <w:rFonts w:ascii="TimesLTStd" w:hAnsi="TimesLTStd"/>
          <w:color w:val="000000"/>
          <w:sz w:val="20"/>
          <w:szCs w:val="20"/>
        </w:rPr>
        <w:t>Older employees may bring lawsuits against companies based on a denied promotion or discharge. As evidence for age discrimination, the courts will investigate whether older workers were denied training opportunities that were provided to younger workers. To avoid age discrimination in training, managers and trainers need to ensure that the organization’s culture and policies are age-neutral. Decisions about training and development opportunities should not be made on the basis of stereotypes about older workers and should take into account job-relevant factors such as performance. Managers should be held accountable for fair training and development practices and for ensuring that all employees have development plans. Finally, all employees should receive training on the ADEA and on how age stereotypes can affect treatment of older employees. Stereotypes such as “Older workers are resistant to change” may result in exclusion of older workers from training and development programs.</w:t>
      </w:r>
    </w:p>
    <w:p w:rsidR="008B5FEF" w:rsidRDefault="008B5FEF" w:rsidP="008B5FEF">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The University of Phoenix had to pay over $1 million for demonstrating a religious bias against non-Mormon employees who worked as enrollment counselors in the university’s Online Division.</w:t>
      </w:r>
      <w:hyperlink r:id="rId14" w:anchor="fn21" w:history="1">
        <w:r>
          <w:rPr>
            <w:rStyle w:val="Hyperlink"/>
            <w:rFonts w:ascii="TimesLTStd" w:hAnsi="TimesLTStd"/>
            <w:sz w:val="20"/>
            <w:szCs w:val="20"/>
            <w:vertAlign w:val="superscript"/>
          </w:rPr>
          <w:t>21</w:t>
        </w:r>
      </w:hyperlink>
      <w:r>
        <w:rPr>
          <w:rStyle w:val="apple-converted-space"/>
          <w:rFonts w:ascii="TimesLTStd" w:hAnsi="TimesLTStd"/>
          <w:color w:val="000000"/>
          <w:sz w:val="20"/>
          <w:szCs w:val="20"/>
        </w:rPr>
        <w:t> </w:t>
      </w:r>
      <w:r>
        <w:rPr>
          <w:rFonts w:ascii="TimesLTStd" w:hAnsi="TimesLTStd"/>
          <w:color w:val="000000"/>
          <w:sz w:val="20"/>
          <w:szCs w:val="20"/>
        </w:rPr>
        <w:t>The religious bias occurred when tuition waivers for non-Mormon employees were denied for failing to meet student registration goals, yet waivers were provided to Mormon employees who failed to meet the same goals.</w:t>
      </w:r>
    </w:p>
    <w:p w:rsidR="008B5FEF" w:rsidRDefault="008B5FEF" w:rsidP="008B5FEF">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New Prime, Inc., a large trucking company, violated federal law by discriminating against female truck driver job applicants when it required that they be trained only by female trainers.</w:t>
      </w:r>
      <w:hyperlink r:id="rId15" w:anchor="fn22" w:history="1">
        <w:r>
          <w:rPr>
            <w:rStyle w:val="Hyperlink"/>
            <w:rFonts w:ascii="TimesLTStd" w:hAnsi="TimesLTStd"/>
            <w:sz w:val="20"/>
            <w:szCs w:val="20"/>
            <w:vertAlign w:val="superscript"/>
          </w:rPr>
          <w:t>22</w:t>
        </w:r>
      </w:hyperlink>
      <w:r>
        <w:rPr>
          <w:rStyle w:val="apple-converted-space"/>
          <w:rFonts w:ascii="TimesLTStd" w:hAnsi="TimesLTStd"/>
          <w:color w:val="000000"/>
          <w:sz w:val="20"/>
          <w:szCs w:val="20"/>
        </w:rPr>
        <w:t> </w:t>
      </w:r>
      <w:r>
        <w:rPr>
          <w:rFonts w:ascii="TimesLTStd" w:hAnsi="TimesLTStd"/>
          <w:color w:val="000000"/>
          <w:sz w:val="20"/>
          <w:szCs w:val="20"/>
        </w:rPr>
        <w:t>Training was provided for male job applicants with no delay, but female job applicants were put on a waiting list, resulting in delaying or denying them jobs.</w:t>
      </w:r>
    </w:p>
    <w:p w:rsidR="0074721C" w:rsidRDefault="0074721C" w:rsidP="0074721C"/>
    <w:p w:rsidR="008B5FEF" w:rsidRDefault="008B5FEF" w:rsidP="008B5FEF">
      <w:pPr>
        <w:pStyle w:val="Heading4"/>
        <w:spacing w:before="240" w:beforeAutospacing="0" w:after="24" w:afterAutospacing="0"/>
        <w:rPr>
          <w:rFonts w:ascii="TimesLTStd" w:hAnsi="TimesLTStd"/>
          <w:i/>
          <w:iCs/>
          <w:sz w:val="23"/>
          <w:szCs w:val="23"/>
        </w:rPr>
      </w:pPr>
      <w:r>
        <w:rPr>
          <w:rFonts w:ascii="TimesLTStd" w:hAnsi="TimesLTStd"/>
          <w:i/>
          <w:iCs/>
          <w:sz w:val="23"/>
          <w:szCs w:val="23"/>
        </w:rPr>
        <w:t>Not Ensuring Equal Treatment of All Employees While in Training</w:t>
      </w:r>
    </w:p>
    <w:p w:rsidR="008B5FEF" w:rsidRDefault="008B5FEF" w:rsidP="008B5FEF">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Equal treatment of all trainees means that conditions of the learning environment, such as opportunities for practice, feedback, and role-playing, are available for all trainees regardless of their background. It also means that all trainees are given similar physical and financial resources necessary to be successful. Also, trainers should avoid jokes, stories, and props that might create a hostile learning environment. For example, because of claims that female employees were being harassed at air traffic control centers, the FAA required employees to attend diversity training where male employees were made to experience what it felt like to be taunted and jeered at as they walked down the aisle in an air traffic control facility (known as “walking the gauntlet”). One of the male employees found the experience to be distasteful and psychologically stressful, sued the FAA, and won.</w:t>
      </w:r>
    </w:p>
    <w:p w:rsidR="008B5FEF" w:rsidRDefault="008B5FEF" w:rsidP="008B5FEF">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Merrill Lynch was sued by an African American broker for race discrimination.</w:t>
      </w:r>
      <w:hyperlink r:id="rId16" w:anchor="fn23" w:history="1">
        <w:r>
          <w:rPr>
            <w:rStyle w:val="Hyperlink"/>
            <w:rFonts w:ascii="TimesLTStd" w:hAnsi="TimesLTStd"/>
            <w:sz w:val="20"/>
            <w:szCs w:val="20"/>
            <w:u w:val="none"/>
            <w:vertAlign w:val="superscript"/>
          </w:rPr>
          <w:t>23</w:t>
        </w:r>
      </w:hyperlink>
      <w:r>
        <w:rPr>
          <w:rStyle w:val="apple-converted-space"/>
          <w:rFonts w:ascii="TimesLTStd" w:hAnsi="TimesLTStd"/>
          <w:color w:val="000000"/>
          <w:sz w:val="20"/>
          <w:szCs w:val="20"/>
        </w:rPr>
        <w:t> </w:t>
      </w:r>
      <w:r>
        <w:rPr>
          <w:rFonts w:ascii="TimesLTStd" w:hAnsi="TimesLTStd"/>
          <w:color w:val="000000"/>
          <w:sz w:val="20"/>
          <w:szCs w:val="20"/>
        </w:rPr>
        <w:t>Only 2 percent of its financial advisors were African Americans and were less likely than white brokers to be top producers. The case was settled for $160 million, which was distributed to 1,400 black brokers. Although Merrill ran several programs designed to help black brokers succeed by bringing in clients, black brokers were less likely to be asked to join teams, which limited their sales. Also, the average account asset transferred to them as trainees for their first twenty-eight months of employment was significantly less compared to white brokers.</w:t>
      </w:r>
    </w:p>
    <w:p w:rsidR="008B5FEF" w:rsidRDefault="008B5FEF" w:rsidP="008B5FEF">
      <w:pPr>
        <w:pStyle w:val="Heading4"/>
        <w:spacing w:before="240" w:beforeAutospacing="0" w:after="24" w:afterAutospacing="0"/>
        <w:rPr>
          <w:rFonts w:ascii="TimesLTStd" w:hAnsi="TimesLTStd"/>
          <w:i/>
          <w:iCs/>
          <w:sz w:val="23"/>
          <w:szCs w:val="23"/>
        </w:rPr>
      </w:pPr>
      <w:r>
        <w:rPr>
          <w:rFonts w:ascii="TimesLTStd" w:hAnsi="TimesLTStd"/>
          <w:i/>
          <w:iCs/>
          <w:sz w:val="23"/>
          <w:szCs w:val="23"/>
        </w:rPr>
        <w:t>Requiring Employees to Attend Programs That Might Be Offensive</w:t>
      </w:r>
    </w:p>
    <w:p w:rsidR="008B5FEF" w:rsidRDefault="008B5FEF" w:rsidP="008B5FEF">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Allstate Insurance has been the focus of several religious discrimination lawsuits brought by insurance agents. Some agents charged that the principles emphasized in training programs were based on Scientology and were offensive and counter to their religious beliefs. For example, the training program taught concepts such as the “tone scale” which catalogs emotions and Scientologists believe can influence behavior.</w:t>
      </w:r>
      <w:hyperlink r:id="rId17" w:anchor="fn24" w:history="1">
        <w:r>
          <w:rPr>
            <w:rStyle w:val="Hyperlink"/>
            <w:rFonts w:ascii="TimesLTStd" w:hAnsi="TimesLTStd"/>
            <w:sz w:val="20"/>
            <w:szCs w:val="20"/>
            <w:u w:val="none"/>
            <w:vertAlign w:val="superscript"/>
          </w:rPr>
          <w:t>24</w:t>
        </w:r>
      </w:hyperlink>
    </w:p>
    <w:p w:rsidR="008B5FEF" w:rsidRDefault="008B5FEF" w:rsidP="008B5FEF">
      <w:pPr>
        <w:pStyle w:val="Heading4"/>
        <w:spacing w:before="240" w:beforeAutospacing="0" w:after="24" w:afterAutospacing="0"/>
        <w:rPr>
          <w:rFonts w:ascii="TimesLTStd" w:hAnsi="TimesLTStd"/>
          <w:i/>
          <w:iCs/>
          <w:sz w:val="23"/>
          <w:szCs w:val="23"/>
        </w:rPr>
      </w:pPr>
      <w:r>
        <w:rPr>
          <w:rFonts w:ascii="TimesLTStd" w:hAnsi="TimesLTStd"/>
          <w:i/>
          <w:iCs/>
          <w:sz w:val="23"/>
          <w:szCs w:val="23"/>
        </w:rPr>
        <w:t>Revealing Discriminatory Information During a Training Session</w:t>
      </w:r>
    </w:p>
    <w:p w:rsidR="008B5FEF" w:rsidRDefault="008B5FEF" w:rsidP="008B5FEF">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At Lucky Store Foods, a California supermarket chain, notes taken during a diversity training program were used as evidence of discrimination.</w:t>
      </w:r>
      <w:hyperlink r:id="rId18" w:anchor="fn25" w:history="1">
        <w:r>
          <w:rPr>
            <w:rStyle w:val="Hyperlink"/>
            <w:rFonts w:ascii="TimesLTStd" w:hAnsi="TimesLTStd"/>
            <w:sz w:val="20"/>
            <w:szCs w:val="20"/>
            <w:u w:val="none"/>
            <w:vertAlign w:val="superscript"/>
          </w:rPr>
          <w:t>25</w:t>
        </w:r>
      </w:hyperlink>
      <w:r>
        <w:rPr>
          <w:rStyle w:val="apple-converted-space"/>
          <w:rFonts w:ascii="TimesLTStd" w:hAnsi="TimesLTStd"/>
          <w:color w:val="000000"/>
          <w:sz w:val="20"/>
          <w:szCs w:val="20"/>
        </w:rPr>
        <w:t> </w:t>
      </w:r>
      <w:r>
        <w:rPr>
          <w:rFonts w:ascii="TimesLTStd" w:hAnsi="TimesLTStd"/>
          <w:color w:val="000000"/>
          <w:sz w:val="20"/>
          <w:szCs w:val="20"/>
        </w:rPr>
        <w:t>In the training session, supervisors were asked to verbalize their stereotypes. Some comments (“Women cry more,” “Black women are aggressive”) were derogatory toward women and minorities. The plaintiff in the case used the notes as evidence that the company conducted the training session. To avoid an investigation by the EEOC, the case was settled out of court.</w:t>
      </w:r>
    </w:p>
    <w:p w:rsidR="008B5FEF" w:rsidRDefault="008B5FEF" w:rsidP="008B5FEF">
      <w:pPr>
        <w:pStyle w:val="Heading4"/>
        <w:spacing w:before="240" w:beforeAutospacing="0" w:after="24" w:afterAutospacing="0"/>
        <w:rPr>
          <w:rFonts w:ascii="TimesLTStd" w:hAnsi="TimesLTStd"/>
          <w:i/>
          <w:iCs/>
          <w:sz w:val="23"/>
          <w:szCs w:val="23"/>
        </w:rPr>
      </w:pPr>
      <w:r>
        <w:rPr>
          <w:rFonts w:ascii="TimesLTStd" w:hAnsi="TimesLTStd"/>
          <w:i/>
          <w:iCs/>
          <w:sz w:val="23"/>
          <w:szCs w:val="23"/>
        </w:rPr>
        <w:t>Not Accommodating Trainees with Disabilities</w:t>
      </w:r>
    </w:p>
    <w:p w:rsidR="008B5FEF" w:rsidRDefault="008B5FEF" w:rsidP="008B5FEF">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The</w:t>
      </w:r>
      <w:r>
        <w:rPr>
          <w:rStyle w:val="apple-converted-space"/>
          <w:rFonts w:ascii="TimesLTStd" w:hAnsi="TimesLTStd"/>
          <w:color w:val="000000"/>
          <w:sz w:val="20"/>
          <w:szCs w:val="20"/>
        </w:rPr>
        <w:t> </w:t>
      </w:r>
      <w:r>
        <w:rPr>
          <w:rStyle w:val="bold"/>
          <w:rFonts w:ascii="TimesLTStd" w:hAnsi="TimesLTStd"/>
          <w:b/>
          <w:bCs/>
          <w:color w:val="000000"/>
          <w:sz w:val="20"/>
          <w:szCs w:val="20"/>
        </w:rPr>
        <w:t>Americans with Disabilities Act (ADA)</w:t>
      </w:r>
      <w:r>
        <w:rPr>
          <w:rStyle w:val="apple-converted-space"/>
          <w:rFonts w:ascii="TimesLTStd" w:hAnsi="TimesLTStd"/>
          <w:color w:val="000000"/>
          <w:sz w:val="20"/>
          <w:szCs w:val="20"/>
        </w:rPr>
        <w:t> </w:t>
      </w:r>
      <w:r>
        <w:rPr>
          <w:rFonts w:ascii="TimesLTStd" w:hAnsi="TimesLTStd"/>
          <w:color w:val="000000"/>
          <w:sz w:val="20"/>
          <w:szCs w:val="20"/>
        </w:rPr>
        <w:t xml:space="preserve">prohibits individuals with disabilities from being discriminated against in the workplace. The ADA prohibits discrimination based on disability in employment practices, including hiring, </w:t>
      </w:r>
      <w:r>
        <w:rPr>
          <w:rFonts w:ascii="TimesLTStd" w:hAnsi="TimesLTStd"/>
          <w:color w:val="000000"/>
          <w:sz w:val="20"/>
          <w:szCs w:val="20"/>
        </w:rPr>
        <w:lastRenderedPageBreak/>
        <w:t>firing, compensation, and training. The ADA defines a disability as a physical or mental impairment that substantially limits one or more major life activities, a record of having an impairment, or being regarded as having such an impairment. This includes serious disabilities such as epilepsy, blindness, or paralysis, as well as persons who have a history of heart disease, mental illness, or cancer that is currently in remission.</w:t>
      </w:r>
    </w:p>
    <w:p w:rsidR="00DD00AE" w:rsidRDefault="008B5FEF" w:rsidP="00DD00AE">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The ADA requires companies to make “reasonable accommodation” to the physical or mental condition of a person with a disability who is otherwise qualified, unless doing</w:t>
      </w:r>
      <w:r w:rsidR="00DD00AE">
        <w:rPr>
          <w:rFonts w:ascii="TimesLTStd" w:hAnsi="TimesLTStd"/>
          <w:color w:val="000000"/>
          <w:sz w:val="20"/>
          <w:szCs w:val="20"/>
        </w:rPr>
        <w:t xml:space="preserve"> </w:t>
      </w:r>
      <w:r w:rsidR="00DD00AE">
        <w:rPr>
          <w:rFonts w:ascii="TimesLTStd" w:hAnsi="TimesLTStd"/>
          <w:color w:val="000000"/>
          <w:sz w:val="20"/>
          <w:szCs w:val="20"/>
        </w:rPr>
        <w:t>so would impose an “undue hardship” on the organization’s operations. Determination of undue hardship is made by analyzing the type and cost of the accommodation in relation to the company’s financial resources. Even if the undue hardship can be justified, the ADA requires that the person with the disability be provided the option of paying the part of the cost that causes the undue hardship.</w:t>
      </w:r>
    </w:p>
    <w:p w:rsidR="00DD00AE" w:rsidRDefault="00DD00AE" w:rsidP="00DD00AE">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In the context of training,</w:t>
      </w:r>
      <w:r>
        <w:rPr>
          <w:rStyle w:val="apple-converted-space"/>
          <w:rFonts w:ascii="TimesLTStd" w:hAnsi="TimesLTStd"/>
          <w:color w:val="000000"/>
          <w:sz w:val="20"/>
          <w:szCs w:val="20"/>
        </w:rPr>
        <w:t> </w:t>
      </w:r>
      <w:r>
        <w:rPr>
          <w:rStyle w:val="bold"/>
          <w:rFonts w:ascii="TimesLTStd" w:hAnsi="TimesLTStd"/>
          <w:b/>
          <w:bCs/>
          <w:color w:val="000000"/>
          <w:sz w:val="20"/>
          <w:szCs w:val="20"/>
        </w:rPr>
        <w:t>reasonable accommodation</w:t>
      </w:r>
      <w:r>
        <w:rPr>
          <w:rStyle w:val="apple-converted-space"/>
          <w:rFonts w:ascii="TimesLTStd" w:hAnsi="TimesLTStd"/>
          <w:color w:val="000000"/>
          <w:sz w:val="20"/>
          <w:szCs w:val="20"/>
        </w:rPr>
        <w:t> </w:t>
      </w:r>
      <w:r>
        <w:rPr>
          <w:rFonts w:ascii="TimesLTStd" w:hAnsi="TimesLTStd"/>
          <w:color w:val="000000"/>
          <w:sz w:val="20"/>
          <w:szCs w:val="20"/>
        </w:rPr>
        <w:t>refers to making training facilities readily accessible to and usable by individuals with disabilities. Reasonable accommodation may also include modifying instructional media, adjusting training policies, and providing trainees with readers or interpreters. Employers are not required to make reasonable accommodation if the person does not request them. Employers are also not required to make reasonable accommodation if persons are not qualified to participate in training programs (e.g., they lack the prerequisite certification or educational requirements).</w:t>
      </w:r>
    </w:p>
    <w:p w:rsidR="00DD00AE" w:rsidRDefault="00DD00AE" w:rsidP="00DD00AE">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One example of how the ADA might influence training activities involves adventure learning. Some adventure learning experiences demand a high level of physical fitness. Employees who have a disability cannot be required to attend adventure learning training programs.</w:t>
      </w:r>
      <w:hyperlink r:id="rId19" w:anchor="fn26" w:history="1">
        <w:r>
          <w:rPr>
            <w:rStyle w:val="Hyperlink"/>
            <w:rFonts w:ascii="TimesLTStd" w:hAnsi="TimesLTStd"/>
            <w:sz w:val="20"/>
            <w:szCs w:val="20"/>
            <w:u w:val="none"/>
            <w:vertAlign w:val="superscript"/>
          </w:rPr>
          <w:t>26</w:t>
        </w:r>
      </w:hyperlink>
      <w:r>
        <w:rPr>
          <w:rStyle w:val="apple-converted-space"/>
          <w:rFonts w:ascii="TimesLTStd" w:hAnsi="TimesLTStd"/>
          <w:color w:val="000000"/>
          <w:sz w:val="20"/>
          <w:szCs w:val="20"/>
        </w:rPr>
        <w:t> </w:t>
      </w:r>
      <w:r>
        <w:rPr>
          <w:rFonts w:ascii="TimesLTStd" w:hAnsi="TimesLTStd"/>
          <w:color w:val="000000"/>
          <w:sz w:val="20"/>
          <w:szCs w:val="20"/>
        </w:rPr>
        <w:t>If it does not cause an undue hardship, employees should be offered an alternative program for developing the learned capabilities emphasized in the adventure learning program.</w:t>
      </w:r>
    </w:p>
    <w:p w:rsidR="00DD00AE" w:rsidRDefault="00DD00AE" w:rsidP="00DD00AE">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It is impossible to give specific guidelines regarding the type of accommodations that trainers and managers should make to avoid violating the ADA. It is important to identify if the training is related to “essential” job functions. That is, are the tasks or knowledge, skills, and abilities that are the focus of training fundamental to the position? Task analysis information (discussed in</w:t>
      </w:r>
      <w:r>
        <w:rPr>
          <w:rStyle w:val="apple-converted-space"/>
          <w:rFonts w:ascii="TimesLTStd" w:hAnsi="TimesLTStd"/>
          <w:color w:val="000000"/>
          <w:sz w:val="20"/>
          <w:szCs w:val="20"/>
        </w:rPr>
        <w:t> </w:t>
      </w:r>
      <w:hyperlink r:id="rId20" w:history="1">
        <w:r>
          <w:rPr>
            <w:rStyle w:val="Hyperlink"/>
            <w:rFonts w:ascii="TimesLTStd" w:hAnsi="TimesLTStd"/>
            <w:sz w:val="20"/>
            <w:szCs w:val="20"/>
            <w:u w:val="none"/>
          </w:rPr>
          <w:t>Chapter Three</w:t>
        </w:r>
      </w:hyperlink>
      <w:r>
        <w:rPr>
          <w:rFonts w:ascii="TimesLTStd" w:hAnsi="TimesLTStd"/>
          <w:color w:val="000000"/>
          <w:sz w:val="20"/>
          <w:szCs w:val="20"/>
        </w:rPr>
        <w:t>, “Needs Assessment”) can be used to identify essential job functions. For example, tasks that are frequently performed and critical for successful job performance would be considered essential job functions. If training relates to a function that may be performed in the job but does not have to be performed by all persons (a marginal job function), then a disability in relation to that function cannot be used to exclude that person from training. To the extent that the disability makes it difficult for the person to receive the training necessary to complete essential job functions, the trainer must explore whether it is possible to make reasonable accommodations.</w:t>
      </w:r>
    </w:p>
    <w:p w:rsidR="00DD00AE" w:rsidRDefault="00DD00AE" w:rsidP="00DD00AE">
      <w:pPr>
        <w:pStyle w:val="Heading4"/>
        <w:spacing w:before="240" w:beforeAutospacing="0" w:after="24" w:afterAutospacing="0"/>
        <w:rPr>
          <w:rFonts w:ascii="TimesLTStd" w:hAnsi="TimesLTStd"/>
          <w:i/>
          <w:iCs/>
          <w:sz w:val="23"/>
          <w:szCs w:val="23"/>
        </w:rPr>
      </w:pPr>
      <w:r>
        <w:rPr>
          <w:rFonts w:ascii="TimesLTStd" w:hAnsi="TimesLTStd"/>
          <w:i/>
          <w:iCs/>
          <w:sz w:val="23"/>
          <w:szCs w:val="23"/>
        </w:rPr>
        <w:t>Incorrectly Reporting Training as an Expense Failing to Report Training Reimbursement as Income, or Failing to Pay Employees for Attending Training</w:t>
      </w:r>
    </w:p>
    <w:p w:rsidR="008B5FEF" w:rsidRDefault="00DD00AE" w:rsidP="00DD00AE">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The cost of training is covered by the Internal Revenue Code. Companies can often deduct the cost of training provided to employees as a business expense. The Employer Assistance Program, part of the IRS Code, allows an employer to pay an employee up to $5,250 per year for certain educational expenses. This amount can be deducted by the employer as a business expense without adding the payment to the employee’s yearly gross income. In other programs (e.g., the Educational Reimbursement Program), the employer can decide which training is paid for and how it is funded. Reimbursement for training expenses that an employee incurs may be considered part of the employee’s taxable income. Employees may be able to deduct work-related educational expenses as itemized deductions on their income taxes. To be deductible, the expenses must be for training that maintains or improves skills required in the job or that serves a business purpose of the company and is required by the company, or by law or regulations, in order for employees to keep their</w:t>
      </w:r>
    </w:p>
    <w:p w:rsidR="00DD00AE" w:rsidRDefault="00DD00AE" w:rsidP="00DD00AE">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present salary, status, or job. See</w:t>
      </w:r>
      <w:r>
        <w:rPr>
          <w:rStyle w:val="apple-converted-space"/>
          <w:rFonts w:ascii="TimesLTStd" w:hAnsi="TimesLTStd"/>
          <w:color w:val="000000"/>
          <w:sz w:val="20"/>
          <w:szCs w:val="20"/>
        </w:rPr>
        <w:t> </w:t>
      </w:r>
      <w:hyperlink r:id="rId21" w:history="1">
        <w:r>
          <w:rPr>
            <w:rStyle w:val="Hyperlink"/>
            <w:rFonts w:ascii="TimesLTStd" w:hAnsi="TimesLTStd"/>
            <w:i/>
            <w:iCs/>
            <w:sz w:val="20"/>
            <w:szCs w:val="20"/>
            <w:u w:val="none"/>
          </w:rPr>
          <w:t>www.irs.gov</w:t>
        </w:r>
      </w:hyperlink>
      <w:r>
        <w:rPr>
          <w:rStyle w:val="apple-converted-space"/>
          <w:rFonts w:ascii="TimesLTStd" w:hAnsi="TimesLTStd"/>
          <w:color w:val="000000"/>
          <w:sz w:val="20"/>
          <w:szCs w:val="20"/>
        </w:rPr>
        <w:t> </w:t>
      </w:r>
      <w:r>
        <w:rPr>
          <w:rFonts w:ascii="TimesLTStd" w:hAnsi="TimesLTStd"/>
          <w:color w:val="000000"/>
          <w:sz w:val="20"/>
          <w:szCs w:val="20"/>
        </w:rPr>
        <w:t>for more information about business and individual reporting of educational expenses.</w:t>
      </w:r>
    </w:p>
    <w:p w:rsidR="00DD00AE" w:rsidRDefault="00DD00AE" w:rsidP="00DD00AE">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The Fair Labor Standards Act requires employees to receive compensation for all hours worked. However, it is unclear whether the time employees spend at training programs whether they use online or face-to-face methods are considered as hours worked. The time that employees spend in training should be considered working time, which means they should be paid unless four conditions are met.</w:t>
      </w:r>
      <w:hyperlink r:id="rId22" w:anchor="fn27" w:history="1">
        <w:r>
          <w:rPr>
            <w:rStyle w:val="Hyperlink"/>
            <w:rFonts w:ascii="TimesLTStd" w:hAnsi="TimesLTStd"/>
            <w:sz w:val="20"/>
            <w:szCs w:val="20"/>
            <w:u w:val="none"/>
            <w:vertAlign w:val="superscript"/>
          </w:rPr>
          <w:t>27</w:t>
        </w:r>
      </w:hyperlink>
      <w:r>
        <w:rPr>
          <w:rStyle w:val="apple-converted-space"/>
          <w:rFonts w:ascii="TimesLTStd" w:hAnsi="TimesLTStd"/>
          <w:color w:val="000000"/>
          <w:sz w:val="20"/>
          <w:szCs w:val="20"/>
        </w:rPr>
        <w:t> </w:t>
      </w:r>
      <w:r>
        <w:rPr>
          <w:rFonts w:ascii="TimesLTStd" w:hAnsi="TimesLTStd"/>
          <w:color w:val="000000"/>
          <w:sz w:val="20"/>
          <w:szCs w:val="20"/>
        </w:rPr>
        <w:t>The conditions are training is outside of the employee’s regular working hours, training is voluntary, the training is not directly related to the employee’s job, and the employee does not perform any productive work during training.</w:t>
      </w:r>
    </w:p>
    <w:p w:rsidR="00DD00AE" w:rsidRDefault="00DD00AE" w:rsidP="00DD00AE">
      <w:pPr>
        <w:pStyle w:val="Heading4"/>
        <w:spacing w:before="240" w:beforeAutospacing="0" w:after="24" w:afterAutospacing="0"/>
        <w:rPr>
          <w:rFonts w:ascii="TimesLTStd" w:hAnsi="TimesLTStd"/>
          <w:i/>
          <w:iCs/>
          <w:sz w:val="23"/>
          <w:szCs w:val="23"/>
        </w:rPr>
      </w:pPr>
      <w:r>
        <w:rPr>
          <w:rFonts w:ascii="TimesLTStd" w:hAnsi="TimesLTStd"/>
          <w:i/>
          <w:iCs/>
          <w:sz w:val="23"/>
          <w:szCs w:val="23"/>
        </w:rPr>
        <w:t>Managing Workforce Diversity and Inclusion</w:t>
      </w:r>
    </w:p>
    <w:p w:rsidR="00DD00AE" w:rsidRDefault="00DD00AE" w:rsidP="00DD00AE">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Diversity can be considered any dimension that differentiates a person from another.</w:t>
      </w:r>
      <w:hyperlink r:id="rId23" w:anchor="fn28" w:history="1">
        <w:r>
          <w:rPr>
            <w:rStyle w:val="Hyperlink"/>
            <w:rFonts w:ascii="TimesLTStd" w:hAnsi="TimesLTStd"/>
            <w:sz w:val="20"/>
            <w:szCs w:val="20"/>
            <w:u w:val="none"/>
            <w:vertAlign w:val="superscript"/>
          </w:rPr>
          <w:t>28</w:t>
        </w:r>
      </w:hyperlink>
      <w:r>
        <w:rPr>
          <w:rStyle w:val="apple-converted-space"/>
          <w:rFonts w:ascii="TimesLTStd" w:hAnsi="TimesLTStd"/>
          <w:color w:val="000000"/>
          <w:sz w:val="20"/>
          <w:szCs w:val="20"/>
        </w:rPr>
        <w:t> </w:t>
      </w:r>
      <w:r>
        <w:rPr>
          <w:rFonts w:ascii="TimesLTStd" w:hAnsi="TimesLTStd"/>
          <w:color w:val="000000"/>
          <w:sz w:val="20"/>
          <w:szCs w:val="20"/>
        </w:rPr>
        <w:t>For example, at Verizon, diversity means embracing differences and variety, including age, ethnicity, education, sexual orientation, work style, race, gender, and more.</w:t>
      </w:r>
      <w:r>
        <w:rPr>
          <w:rStyle w:val="apple-converted-space"/>
          <w:rFonts w:ascii="TimesLTStd" w:hAnsi="TimesLTStd"/>
          <w:color w:val="000000"/>
          <w:sz w:val="20"/>
          <w:szCs w:val="20"/>
        </w:rPr>
        <w:t> </w:t>
      </w:r>
      <w:r>
        <w:rPr>
          <w:rStyle w:val="bold"/>
          <w:rFonts w:ascii="TimesLTStd" w:hAnsi="TimesLTStd"/>
          <w:b/>
          <w:bCs/>
          <w:color w:val="000000"/>
          <w:sz w:val="20"/>
          <w:szCs w:val="20"/>
        </w:rPr>
        <w:t>Inclusion</w:t>
      </w:r>
      <w:r>
        <w:rPr>
          <w:rStyle w:val="apple-converted-space"/>
          <w:rFonts w:ascii="TimesLTStd" w:hAnsi="TimesLTStd"/>
          <w:color w:val="000000"/>
          <w:sz w:val="20"/>
          <w:szCs w:val="20"/>
        </w:rPr>
        <w:t> </w:t>
      </w:r>
      <w:r>
        <w:rPr>
          <w:rFonts w:ascii="TimesLTStd" w:hAnsi="TimesLTStd"/>
          <w:color w:val="000000"/>
          <w:sz w:val="20"/>
          <w:szCs w:val="20"/>
        </w:rPr>
        <w:t xml:space="preserve">refers to creating an environment in which employees share a sense of belonging, </w:t>
      </w:r>
      <w:r>
        <w:rPr>
          <w:rFonts w:ascii="TimesLTStd" w:hAnsi="TimesLTStd"/>
          <w:color w:val="000000"/>
          <w:sz w:val="20"/>
          <w:szCs w:val="20"/>
        </w:rPr>
        <w:lastRenderedPageBreak/>
        <w:t>mutual respect, and commitment from others so they can perform their best work.</w:t>
      </w:r>
      <w:hyperlink r:id="rId24" w:anchor="fn29" w:history="1">
        <w:r>
          <w:rPr>
            <w:rStyle w:val="Hyperlink"/>
            <w:rFonts w:ascii="TimesLTStd" w:hAnsi="TimesLTStd"/>
            <w:sz w:val="20"/>
            <w:szCs w:val="20"/>
            <w:u w:val="none"/>
            <w:vertAlign w:val="superscript"/>
          </w:rPr>
          <w:t>29</w:t>
        </w:r>
      </w:hyperlink>
      <w:r>
        <w:rPr>
          <w:rStyle w:val="apple-converted-space"/>
          <w:rFonts w:ascii="TimesLTStd" w:hAnsi="TimesLTStd"/>
          <w:color w:val="000000"/>
          <w:sz w:val="20"/>
          <w:szCs w:val="20"/>
        </w:rPr>
        <w:t> </w:t>
      </w:r>
      <w:r>
        <w:rPr>
          <w:rFonts w:ascii="TimesLTStd" w:hAnsi="TimesLTStd"/>
          <w:color w:val="000000"/>
          <w:sz w:val="20"/>
          <w:szCs w:val="20"/>
        </w:rPr>
        <w:t>Inclusion allows companies to capitalizing not only on the diversity of employees but also customers, suppliers, and community partners.</w:t>
      </w:r>
    </w:p>
    <w:p w:rsidR="00DD00AE" w:rsidRDefault="00DD00AE" w:rsidP="00DD00AE">
      <w:pPr>
        <w:pStyle w:val="bch-tx"/>
        <w:spacing w:before="0" w:beforeAutospacing="0" w:after="0" w:afterAutospacing="0"/>
        <w:ind w:firstLine="240"/>
        <w:jc w:val="both"/>
        <w:rPr>
          <w:rFonts w:ascii="TimesLTStd" w:hAnsi="TimesLTStd"/>
          <w:color w:val="000000"/>
          <w:sz w:val="20"/>
          <w:szCs w:val="20"/>
        </w:rPr>
      </w:pPr>
      <w:r>
        <w:rPr>
          <w:rStyle w:val="bold"/>
          <w:rFonts w:ascii="TimesLTStd" w:hAnsi="TimesLTStd"/>
          <w:b/>
          <w:bCs/>
          <w:color w:val="000000"/>
          <w:sz w:val="20"/>
          <w:szCs w:val="20"/>
        </w:rPr>
        <w:t>Diversity training</w:t>
      </w:r>
      <w:r>
        <w:rPr>
          <w:rStyle w:val="apple-converted-space"/>
          <w:rFonts w:ascii="TimesLTStd" w:hAnsi="TimesLTStd"/>
          <w:color w:val="000000"/>
          <w:sz w:val="20"/>
          <w:szCs w:val="20"/>
        </w:rPr>
        <w:t> </w:t>
      </w:r>
      <w:r>
        <w:rPr>
          <w:rFonts w:ascii="TimesLTStd" w:hAnsi="TimesLTStd"/>
          <w:color w:val="000000"/>
          <w:sz w:val="20"/>
          <w:szCs w:val="20"/>
        </w:rPr>
        <w:t>refers to learning efforts that are designed to change employee attitudes about diversity and/or develop skills needed to work with a diverse workforce. The goals of diversity training are (1) to eliminate values, stereotypes, and managerial practices that inhibit employees’ personal development; and therefore (2) to allow employees to contribute to organizational goals regardless of their race, sexual orientation, gender, family status, religious orientation, or cultural background.</w:t>
      </w:r>
      <w:hyperlink r:id="rId25" w:anchor="fn30" w:history="1">
        <w:r>
          <w:rPr>
            <w:rStyle w:val="Hyperlink"/>
            <w:rFonts w:ascii="TimesLTStd" w:hAnsi="TimesLTStd"/>
            <w:sz w:val="20"/>
            <w:szCs w:val="20"/>
            <w:u w:val="none"/>
            <w:vertAlign w:val="superscript"/>
          </w:rPr>
          <w:t>30</w:t>
        </w:r>
      </w:hyperlink>
      <w:r>
        <w:rPr>
          <w:rStyle w:val="apple-converted-space"/>
          <w:rFonts w:ascii="TimesLTStd" w:hAnsi="TimesLTStd"/>
          <w:color w:val="000000"/>
          <w:sz w:val="20"/>
          <w:szCs w:val="20"/>
        </w:rPr>
        <w:t> </w:t>
      </w:r>
      <w:r>
        <w:rPr>
          <w:rFonts w:ascii="TimesLTStd" w:hAnsi="TimesLTStd"/>
          <w:color w:val="000000"/>
          <w:sz w:val="20"/>
          <w:szCs w:val="20"/>
        </w:rPr>
        <w:t>Equal Employment Opportunity (EEO) laws help ensure that women and minorities are adequately represented in a company’s labor force. That is, companies have focused on ensuring equal access to jobs. However, diversity training and a focus on EEO laws are insufficient for a company to truly capitalize on the value of a diverse workforce. They are one part of a larger emphasis on managing diversity and inclusion.</w:t>
      </w:r>
    </w:p>
    <w:p w:rsidR="00DD00AE" w:rsidRDefault="00DD00AE" w:rsidP="00DD00AE">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Research shows that diversity training has a small to medium effect on affective (attitudes), cognitive (acquiring knowledge), and behavioral outcomes.</w:t>
      </w:r>
      <w:hyperlink r:id="rId26" w:anchor="fn31" w:history="1">
        <w:r>
          <w:rPr>
            <w:rStyle w:val="Hyperlink"/>
            <w:rFonts w:ascii="TimesLTStd" w:hAnsi="TimesLTStd"/>
            <w:sz w:val="20"/>
            <w:szCs w:val="20"/>
            <w:u w:val="none"/>
            <w:vertAlign w:val="superscript"/>
          </w:rPr>
          <w:t>31</w:t>
        </w:r>
      </w:hyperlink>
      <w:r>
        <w:rPr>
          <w:rStyle w:val="apple-converted-space"/>
          <w:rFonts w:ascii="TimesLTStd" w:hAnsi="TimesLTStd"/>
          <w:color w:val="000000"/>
          <w:sz w:val="20"/>
          <w:szCs w:val="20"/>
        </w:rPr>
        <w:t> </w:t>
      </w:r>
      <w:r>
        <w:rPr>
          <w:rFonts w:ascii="TimesLTStd" w:hAnsi="TimesLTStd"/>
          <w:color w:val="000000"/>
          <w:sz w:val="20"/>
          <w:szCs w:val="20"/>
        </w:rPr>
        <w:t>Greater benefits were found for diversity training using training design features that created a positive learning environment. That is, the training program was sufficient length for trainees to learn (four hours or more), managers were used as trainers, and trainees interacted face to face with the instructor, the content, and other learners using cases and exercises. The most common area addressed through diversity training is the pervasiveness of stereotypes, assumptions, and biases.</w:t>
      </w:r>
      <w:hyperlink r:id="rId27" w:anchor="fn32" w:history="1">
        <w:r>
          <w:rPr>
            <w:rStyle w:val="Hyperlink"/>
            <w:rFonts w:ascii="TimesLTStd" w:hAnsi="TimesLTStd"/>
            <w:sz w:val="20"/>
            <w:szCs w:val="20"/>
            <w:u w:val="none"/>
            <w:vertAlign w:val="superscript"/>
          </w:rPr>
          <w:t>32</w:t>
        </w:r>
      </w:hyperlink>
      <w:r>
        <w:rPr>
          <w:rStyle w:val="apple-converted-space"/>
          <w:rFonts w:ascii="TimesLTStd" w:hAnsi="TimesLTStd"/>
          <w:color w:val="000000"/>
          <w:sz w:val="20"/>
          <w:szCs w:val="20"/>
        </w:rPr>
        <w:t> </w:t>
      </w:r>
      <w:r>
        <w:rPr>
          <w:rFonts w:ascii="TimesLTStd" w:hAnsi="TimesLTStd"/>
          <w:color w:val="000000"/>
          <w:sz w:val="20"/>
          <w:szCs w:val="20"/>
        </w:rPr>
        <w:t>For example, BAE Systems requires that middle managers and executives take a two-hour class on unconscious bias.</w:t>
      </w:r>
      <w:hyperlink r:id="rId28" w:anchor="fn33" w:history="1">
        <w:r>
          <w:rPr>
            <w:rStyle w:val="Hyperlink"/>
            <w:rFonts w:ascii="TimesLTStd" w:hAnsi="TimesLTStd"/>
            <w:sz w:val="20"/>
            <w:szCs w:val="20"/>
            <w:u w:val="none"/>
            <w:vertAlign w:val="superscript"/>
          </w:rPr>
          <w:t>33</w:t>
        </w:r>
      </w:hyperlink>
      <w:r>
        <w:rPr>
          <w:rStyle w:val="apple-converted-space"/>
          <w:rFonts w:ascii="TimesLTStd" w:hAnsi="TimesLTStd"/>
          <w:color w:val="000000"/>
          <w:sz w:val="20"/>
          <w:szCs w:val="20"/>
        </w:rPr>
        <w:t> </w:t>
      </w:r>
      <w:r>
        <w:rPr>
          <w:rFonts w:ascii="TimesLTStd" w:hAnsi="TimesLTStd"/>
          <w:color w:val="000000"/>
          <w:sz w:val="20"/>
          <w:szCs w:val="20"/>
        </w:rPr>
        <w:t>Unconscious bias means that based on their background and experiences managers might unintentionally make employment decisions that give preference to individuals with certain characteristics such as the color of their skin, age, body type, or personality. Trainees watch videos, participate in exercises, and discuss research to help them understand why unconscious bias occurs and how to overcome it.</w:t>
      </w:r>
    </w:p>
    <w:p w:rsidR="00DD00AE" w:rsidRDefault="00DD00AE" w:rsidP="00DD00AE">
      <w:pPr>
        <w:pStyle w:val="bch-tx"/>
        <w:spacing w:before="0" w:beforeAutospacing="0" w:after="0" w:afterAutospacing="0"/>
        <w:ind w:firstLine="240"/>
        <w:jc w:val="both"/>
        <w:rPr>
          <w:rFonts w:ascii="TimesLTStd" w:hAnsi="TimesLTStd"/>
          <w:color w:val="000000"/>
          <w:sz w:val="20"/>
          <w:szCs w:val="20"/>
        </w:rPr>
      </w:pPr>
      <w:r>
        <w:rPr>
          <w:rStyle w:val="bold"/>
          <w:rFonts w:ascii="TimesLTStd" w:hAnsi="TimesLTStd"/>
          <w:b/>
          <w:bCs/>
          <w:color w:val="000000"/>
          <w:sz w:val="20"/>
          <w:szCs w:val="20"/>
        </w:rPr>
        <w:t>Managing diversity and inclusion</w:t>
      </w:r>
      <w:r>
        <w:rPr>
          <w:rStyle w:val="apple-converted-space"/>
          <w:rFonts w:ascii="TimesLTStd" w:hAnsi="TimesLTStd"/>
          <w:color w:val="000000"/>
          <w:sz w:val="20"/>
          <w:szCs w:val="20"/>
        </w:rPr>
        <w:t> </w:t>
      </w:r>
      <w:r>
        <w:rPr>
          <w:rFonts w:ascii="TimesLTStd" w:hAnsi="TimesLTStd"/>
          <w:color w:val="000000"/>
          <w:sz w:val="20"/>
          <w:szCs w:val="20"/>
        </w:rPr>
        <w:t>involves creating an environment that allows all employees to contribute to organizational goals and experience personal growth. This</w:t>
      </w:r>
      <w:r>
        <w:rPr>
          <w:rStyle w:val="pagebreak"/>
          <w:rFonts w:ascii="TimesLTStd" w:hAnsi="TimesLTStd"/>
          <w:color w:val="7F7F7F"/>
          <w:sz w:val="20"/>
          <w:szCs w:val="20"/>
        </w:rPr>
        <w:t>454</w:t>
      </w:r>
      <w:r>
        <w:rPr>
          <w:rFonts w:ascii="TimesLTStd" w:hAnsi="TimesLTStd"/>
          <w:color w:val="000000"/>
          <w:sz w:val="20"/>
          <w:szCs w:val="20"/>
        </w:rPr>
        <w:t>environment includes access to jobs, as well as fair and positive treatment of all employees. The company must develop employees who are comfortable working with people from a wide variety of ethnic, racial, and religious backgrounds. Managing diversity may require changing the company culture. It includes the company’s standards and norms about how employees are treated, competitiveness, results orientation, innovation, and risk taking. The value placed on diversity is grounded in the company culture.</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Managing diversity and inclusion can provide companies with a competitive advantage in several different ways. It helps a company develop a reputation as a favorable employer, which attracts talent, women and minority employees. Women and minority employees will feel valued and free to contribute their insights, which can help develop new products and improve marketing efforts focused on specific consumer segments such as Hispanics.</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For example, in addition to training managers to reduce their unconscious bias, BAE Systems also takes steps to manage diversity and inclusion.</w:t>
      </w:r>
      <w:hyperlink r:id="rId29" w:anchor="fn34" w:history="1">
        <w:r>
          <w:rPr>
            <w:rStyle w:val="Hyperlink"/>
            <w:rFonts w:ascii="TimesLTStd" w:hAnsi="TimesLTStd"/>
            <w:sz w:val="20"/>
            <w:szCs w:val="20"/>
            <w:vertAlign w:val="superscript"/>
          </w:rPr>
          <w:t>34</w:t>
        </w:r>
      </w:hyperlink>
      <w:r>
        <w:rPr>
          <w:rStyle w:val="apple-converted-space"/>
          <w:rFonts w:ascii="TimesLTStd" w:hAnsi="TimesLTStd"/>
          <w:color w:val="000000"/>
          <w:sz w:val="20"/>
          <w:szCs w:val="20"/>
        </w:rPr>
        <w:t> </w:t>
      </w:r>
      <w:r>
        <w:rPr>
          <w:rFonts w:ascii="TimesLTStd" w:hAnsi="TimesLTStd"/>
          <w:color w:val="000000"/>
          <w:sz w:val="20"/>
          <w:szCs w:val="20"/>
        </w:rPr>
        <w:t>One step was that BAE changed the composition of the interview panels used to hire middle managers. The interview panels now include women and people of color as well as white males. As a result, the number of women and people of color in managers’ roles increased about 10 percent.</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Diversity may enhance performance when organizations have an environment that promotes learning from diversity.</w:t>
      </w:r>
      <w:hyperlink r:id="rId30" w:anchor="fn35" w:history="1">
        <w:r>
          <w:rPr>
            <w:rStyle w:val="Hyperlink"/>
            <w:rFonts w:ascii="TimesLTStd" w:hAnsi="TimesLTStd"/>
            <w:sz w:val="20"/>
            <w:szCs w:val="20"/>
            <w:vertAlign w:val="superscript"/>
          </w:rPr>
          <w:t>35</w:t>
        </w:r>
      </w:hyperlink>
      <w:r>
        <w:rPr>
          <w:rStyle w:val="apple-converted-space"/>
          <w:rFonts w:ascii="TimesLTStd" w:hAnsi="TimesLTStd"/>
          <w:color w:val="000000"/>
          <w:sz w:val="20"/>
          <w:szCs w:val="20"/>
        </w:rPr>
        <w:t> </w:t>
      </w:r>
      <w:r>
        <w:rPr>
          <w:rFonts w:ascii="TimesLTStd" w:hAnsi="TimesLTStd"/>
          <w:color w:val="000000"/>
          <w:sz w:val="20"/>
          <w:szCs w:val="20"/>
        </w:rPr>
        <w:t>There is no evidence to support the direct relationship between diversity and business.</w:t>
      </w:r>
      <w:hyperlink r:id="rId31" w:anchor="fn36" w:history="1">
        <w:r>
          <w:rPr>
            <w:rStyle w:val="Hyperlink"/>
            <w:rFonts w:ascii="TimesLTStd" w:hAnsi="TimesLTStd"/>
            <w:sz w:val="20"/>
            <w:szCs w:val="20"/>
            <w:vertAlign w:val="superscript"/>
          </w:rPr>
          <w:t>36</w:t>
        </w:r>
      </w:hyperlink>
      <w:r>
        <w:rPr>
          <w:rStyle w:val="apple-converted-space"/>
          <w:rFonts w:ascii="TimesLTStd" w:hAnsi="TimesLTStd"/>
          <w:color w:val="000000"/>
          <w:sz w:val="20"/>
          <w:szCs w:val="20"/>
        </w:rPr>
        <w:t> </w:t>
      </w:r>
      <w:r>
        <w:rPr>
          <w:rFonts w:ascii="TimesLTStd" w:hAnsi="TimesLTStd"/>
          <w:color w:val="000000"/>
          <w:sz w:val="20"/>
          <w:szCs w:val="20"/>
        </w:rPr>
        <w:t>Rather, a company will see the success of its diversity efforts only if it makes a long-term commitment to managing diversity and has a zero tolerance policy toward discrimination. Successful diversity requires that it be viewed as an opportunity for all employees to (1) learn from each other how to better accomplish their work, (2) be provided with a supportive and cooperative organizational culture, and (3) be taught leadership and process skills that can facilitate effective team functioning. Diversity is a reality in labor and customer markets and is a social expectation and value. Managers should focus on building an organizational environment, on HR practices, and on managerial and team skills that all capitalize on diversity. As you will see in the discussion that follows, managing diversity requires difficult cultural change, not just slogans on the wall.</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hyperlink r:id="rId32" w:anchor="tab10.2" w:history="1">
        <w:r>
          <w:rPr>
            <w:rStyle w:val="Hyperlink"/>
            <w:rFonts w:ascii="TimesLTStd" w:hAnsi="TimesLTStd"/>
            <w:sz w:val="20"/>
            <w:szCs w:val="20"/>
          </w:rPr>
          <w:t>Table 10.2</w:t>
        </w:r>
      </w:hyperlink>
      <w:r>
        <w:rPr>
          <w:rStyle w:val="apple-converted-space"/>
          <w:rFonts w:ascii="TimesLTStd" w:hAnsi="TimesLTStd"/>
          <w:color w:val="000000"/>
          <w:sz w:val="20"/>
          <w:szCs w:val="20"/>
        </w:rPr>
        <w:t> </w:t>
      </w:r>
      <w:r>
        <w:rPr>
          <w:rFonts w:ascii="TimesLTStd" w:hAnsi="TimesLTStd"/>
          <w:color w:val="000000"/>
          <w:sz w:val="20"/>
          <w:szCs w:val="20"/>
        </w:rPr>
        <w:t xml:space="preserve">shows the characteristics associated with the long-term success of diversity programs. It is critical that a diversity program be tied to business objectives. Measuring the effectiveness of managing diversity helps ensure that it is treated as important as other business outcomes such as productivity or customer satisfaction. Diversity and inclusion goals are included in managers’ performance objectives and they are expected to be actively involved in promoting diversity. For example, when asked why advancing diversity in his company was important to him, the CEO of </w:t>
      </w:r>
      <w:proofErr w:type="spellStart"/>
      <w:r>
        <w:rPr>
          <w:rFonts w:ascii="TimesLTStd" w:hAnsi="TimesLTStd"/>
          <w:color w:val="000000"/>
          <w:sz w:val="20"/>
          <w:szCs w:val="20"/>
        </w:rPr>
        <w:t>Merisant</w:t>
      </w:r>
      <w:proofErr w:type="spellEnd"/>
      <w:r>
        <w:rPr>
          <w:rFonts w:ascii="TimesLTStd" w:hAnsi="TimesLTStd"/>
          <w:color w:val="000000"/>
          <w:sz w:val="20"/>
          <w:szCs w:val="20"/>
        </w:rPr>
        <w:t xml:space="preserve"> emphasized that employees with different lifestyles and backgrounds challenge each other and create disagreement, which is necessary for business innovations and creativity.</w:t>
      </w:r>
      <w:hyperlink r:id="rId33" w:anchor="fn37" w:history="1">
        <w:r>
          <w:rPr>
            <w:rStyle w:val="Hyperlink"/>
            <w:rFonts w:ascii="TimesLTStd" w:hAnsi="TimesLTStd"/>
            <w:sz w:val="20"/>
            <w:szCs w:val="20"/>
            <w:vertAlign w:val="superscript"/>
          </w:rPr>
          <w:t>37</w:t>
        </w:r>
      </w:hyperlink>
      <w:r>
        <w:rPr>
          <w:rStyle w:val="apple-converted-space"/>
          <w:rFonts w:ascii="TimesLTStd" w:hAnsi="TimesLTStd"/>
          <w:color w:val="000000"/>
          <w:sz w:val="20"/>
          <w:szCs w:val="20"/>
        </w:rPr>
        <w:t> </w:t>
      </w:r>
      <w:r>
        <w:rPr>
          <w:rFonts w:ascii="TimesLTStd" w:hAnsi="TimesLTStd"/>
          <w:color w:val="000000"/>
          <w:sz w:val="20"/>
          <w:szCs w:val="20"/>
        </w:rPr>
        <w:t xml:space="preserve">Bank of America includes questions about diversity and inclusiveness on its employee engagement survey. They use these results to understand if employees feel they are treated fairly. AT&amp;T senior executives have regular meetings to discuss diversity objectives and part of </w:t>
      </w:r>
      <w:r>
        <w:rPr>
          <w:rFonts w:ascii="TimesLTStd" w:hAnsi="TimesLTStd"/>
          <w:color w:val="000000"/>
          <w:sz w:val="20"/>
          <w:szCs w:val="20"/>
        </w:rPr>
        <w:lastRenderedPageBreak/>
        <w:t>their compensation is based on meeting those objectives. Top management support can be demonstrated by creating a structure to support the initiative.</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Consider Sodexo’s diversity effort.</w:t>
      </w:r>
      <w:hyperlink r:id="rId34" w:anchor="fn38" w:history="1">
        <w:r>
          <w:rPr>
            <w:rStyle w:val="Hyperlink"/>
            <w:rFonts w:ascii="TimesLTStd" w:hAnsi="TimesLTStd"/>
            <w:sz w:val="20"/>
            <w:szCs w:val="20"/>
            <w:vertAlign w:val="superscript"/>
          </w:rPr>
          <w:t>38</w:t>
        </w:r>
      </w:hyperlink>
      <w:r>
        <w:rPr>
          <w:rStyle w:val="apple-converted-space"/>
          <w:rFonts w:ascii="TimesLTStd" w:hAnsi="TimesLTStd"/>
          <w:color w:val="000000"/>
          <w:sz w:val="20"/>
          <w:szCs w:val="20"/>
        </w:rPr>
        <w:t> </w:t>
      </w:r>
      <w:r>
        <w:rPr>
          <w:rFonts w:ascii="TimesLTStd" w:hAnsi="TimesLTStd"/>
          <w:color w:val="000000"/>
          <w:sz w:val="20"/>
          <w:szCs w:val="20"/>
        </w:rPr>
        <w:t>Sodexo is the leading food and facilities management company in the United States, Canada, and Mexico, daily serving 10 million customers. With employees in 80 countries representing 128 nationalities connecting with customers on a daily basis, a policy of inclusion is not an option or a choice—it is a business necessity. Sodexo is focused on gender representation, generational opportunities in the workplace, people with disabilities, and ethnic minority representation. As a result, diversity and inclusion are core elements of the business strategy. Sodexo believes that diversity and inclusion is a fundamental business objective focused on employees (e.g., work culture, recruitment, talent development, work-life effectiveness), customers, clients, and shareholders (e.g., supplier diversity, cross-market diversity council, diversity consulting), and communities (e.g., Sodexo Foundation and Community Partners). For example, some of the objectives include understanding and living the business case for diversity and inclusion; increasing awareness of how diversity relates to business challenges; creating and fostering a diverse work environment by developing management practices that drive hiring, promotion, and retention of talent; engaging in relationship management and customer service to attract and retain diverse clients and customers; and partnering with women and minority businesses to deliver food and facility management services. Diversity and inclusion are core competencies at Sodexo. Diversity and inclusion are part of employees’ training and managers’ annual performance review; new employee orientation emphasizes Sodexo’s values and expectations regarding diversity and inclusion.</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Sodexo separates Equal Employment Opportunity (EEO) and legal compliance training from diversity training. At Sodexo, diversity training is part of the managing diversity strategy. Every three years, employees are required to take EEO and affirmative action refresher courses. Top management is also involved in and committed to managing diversity. The senior executives program includes ongoing classroom training that is reinforced with community involvement, sponsoring employee groups, and mentoring diverse employees. Executives are engaged in learning the business case for diversity and are personally held accountable for the company’s diversity agenda. Every manager takes an eight-hour introductory class (called Spirit of Diversity). Sodexo’s diversity training involves learning labs focused on skill building and diversity awareness. Examples of</w:t>
      </w:r>
      <w:r>
        <w:rPr>
          <w:rStyle w:val="pagebreak"/>
          <w:rFonts w:ascii="TimesLTStd" w:hAnsi="TimesLTStd"/>
          <w:color w:val="7F7F7F"/>
          <w:sz w:val="20"/>
          <w:szCs w:val="20"/>
        </w:rPr>
        <w:t>456</w:t>
      </w:r>
      <w:r>
        <w:rPr>
          <w:rFonts w:ascii="TimesLTStd" w:hAnsi="TimesLTStd"/>
          <w:color w:val="000000"/>
          <w:sz w:val="20"/>
          <w:szCs w:val="20"/>
        </w:rPr>
        <w:t>these learning labs include Generations in the Workplace, Disability Awareness Training, Cross-Cultural Communications, and Improving Team Effectiveness Through Inclusion. The company’s learning and development team develops customized learning solutions for different functions and work teams. For example, a course related to selling to a diverse client base was developed and offered to the sales force, and a cross-cultural communications program was provided for recruiters.</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 xml:space="preserve">In addition to diversity training activities, Sodexo has many employee network groups—such as the African American Leadership Forum, People Respecting Individuality, Diversity, and Equality (PRIDE), Honoring Our Nation’s finest with Opportunity and Respect (HONOR), and the Intergenerational Network Group (IGEN). These network groups provide forums for helping employees feel a sense of community, learn from each other, develop their careers, and share input and ideas to support the </w:t>
      </w:r>
      <w:proofErr w:type="spellStart"/>
      <w:r>
        <w:rPr>
          <w:rFonts w:ascii="TimesLTStd" w:hAnsi="TimesLTStd"/>
          <w:color w:val="000000"/>
          <w:sz w:val="20"/>
          <w:szCs w:val="20"/>
        </w:rPr>
        <w:t>companys</w:t>
      </w:r>
      <w:proofErr w:type="spellEnd"/>
      <w:r>
        <w:rPr>
          <w:rFonts w:ascii="TimesLTStd" w:hAnsi="TimesLTStd"/>
          <w:color w:val="000000"/>
          <w:sz w:val="20"/>
          <w:szCs w:val="20"/>
        </w:rPr>
        <w:t>’ diversity efforts. Sodexo’s “Champions of Diversity” program rewards and recognizes employees who advance diversity and inclusion.</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To emphasize the importance of diversity for the company, at Sodexo, each manager has a diversity scorecard that evaluates his or her success in recruitment, retention, promotion, and development of all employees. The scorecard includes both quantitative goals and evaluation of behaviors such as participating in training, mentoring, and doing community outreach. A proportion of their pay bonuses is determined by success in these areas.</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Sodexo has found that its diversity training and efforts to manage diversity are having a positive impact on business results. Its mentoring program has led to increased productivity, engagement, and retention of women and people of color. There was an estimated ROI of $19 for every dollar spent on the program. Sodexo also has been awarded several new business contracts and retained clients because of its involvement in managing diversity. Sodexo has also been recognized for its diversity and inclusion efforts, which help attract talented employees by signaling that the company cares about the well-being of all of its employees. Sodexo was ranked number 5 on the 2015 Diversity Inc Top 50 Companies for Diversity list. This marks the tenth consecutive year that the company has been recognized by Diversity Inc for the success of its diversity efforts. Sodexo is also recognized as a top company for executive women and ranked among the top ten companies for Latinos, blacks, global diversity, and people with disabilities. Most effective programs to manage diversity, such as Sodexo’s diversity program, include the key components shown in</w:t>
      </w:r>
      <w:r>
        <w:rPr>
          <w:rStyle w:val="apple-converted-space"/>
          <w:rFonts w:ascii="TimesLTStd" w:hAnsi="TimesLTStd"/>
          <w:color w:val="000000"/>
          <w:sz w:val="20"/>
          <w:szCs w:val="20"/>
        </w:rPr>
        <w:t> </w:t>
      </w:r>
      <w:hyperlink r:id="rId35" w:anchor="tab10.3" w:history="1">
        <w:r>
          <w:rPr>
            <w:rStyle w:val="Hyperlink"/>
            <w:rFonts w:ascii="TimesLTStd" w:hAnsi="TimesLTStd"/>
            <w:sz w:val="20"/>
            <w:szCs w:val="20"/>
            <w:u w:val="none"/>
          </w:rPr>
          <w:t>Table 10.3</w:t>
        </w:r>
      </w:hyperlink>
      <w:r>
        <w:rPr>
          <w:rFonts w:ascii="TimesLTStd" w:hAnsi="TimesLTStd"/>
          <w:color w:val="000000"/>
          <w:sz w:val="20"/>
          <w:szCs w:val="20"/>
        </w:rPr>
        <w:t>.</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As should be apparent from this discussion, successful diversity programs involve more than just an effective training program. They require an ongoing process of culture change that includes top management support, as well as diversity policies and practices in the areas of recruitment and hiring, training and development, and administrative structures, such as conducting diversity surveys and evaluating managers’ progress on diversity goals.</w:t>
      </w:r>
      <w:hyperlink r:id="rId36" w:anchor="fn39" w:history="1">
        <w:r>
          <w:rPr>
            <w:rStyle w:val="Hyperlink"/>
            <w:rFonts w:ascii="TimesLTStd" w:hAnsi="TimesLTStd"/>
            <w:sz w:val="20"/>
            <w:szCs w:val="20"/>
            <w:u w:val="none"/>
            <w:vertAlign w:val="superscript"/>
          </w:rPr>
          <w:t>39</w:t>
        </w:r>
      </w:hyperlink>
      <w:r>
        <w:rPr>
          <w:rStyle w:val="apple-converted-space"/>
          <w:rFonts w:ascii="TimesLTStd" w:hAnsi="TimesLTStd"/>
          <w:color w:val="000000"/>
          <w:sz w:val="20"/>
          <w:szCs w:val="20"/>
        </w:rPr>
        <w:t> </w:t>
      </w:r>
      <w:r>
        <w:rPr>
          <w:rFonts w:ascii="TimesLTStd" w:hAnsi="TimesLTStd"/>
          <w:color w:val="000000"/>
          <w:sz w:val="20"/>
          <w:szCs w:val="20"/>
        </w:rPr>
        <w:t xml:space="preserve">They also focus on enhancing diversity and inclusion with suppliers, vendors, and in the communities where the company conducts business. One way that top management is supporting the management of diversity and reinforcing its </w:t>
      </w:r>
      <w:r>
        <w:rPr>
          <w:rFonts w:ascii="TimesLTStd" w:hAnsi="TimesLTStd"/>
          <w:color w:val="000000"/>
          <w:sz w:val="20"/>
          <w:szCs w:val="20"/>
        </w:rPr>
        <w:lastRenderedPageBreak/>
        <w:t>importance for the business is by creating Chief Diversity Officer executive positions. ABB North America recently created a chief diversity and inclusion officer position reporting directly to the CEO.</w:t>
      </w:r>
      <w:hyperlink r:id="rId37" w:anchor="fn40" w:history="1">
        <w:r>
          <w:rPr>
            <w:rStyle w:val="Hyperlink"/>
            <w:rFonts w:ascii="TimesLTStd" w:hAnsi="TimesLTStd"/>
            <w:sz w:val="20"/>
            <w:szCs w:val="20"/>
            <w:u w:val="none"/>
            <w:vertAlign w:val="superscript"/>
          </w:rPr>
          <w:t>40</w:t>
        </w:r>
      </w:hyperlink>
      <w:r>
        <w:rPr>
          <w:rStyle w:val="apple-converted-space"/>
          <w:rFonts w:ascii="TimesLTStd" w:hAnsi="TimesLTStd"/>
          <w:color w:val="000000"/>
          <w:sz w:val="20"/>
          <w:szCs w:val="20"/>
        </w:rPr>
        <w:t> </w:t>
      </w:r>
      <w:r>
        <w:rPr>
          <w:rFonts w:ascii="TimesLTStd" w:hAnsi="TimesLTStd"/>
          <w:color w:val="000000"/>
          <w:sz w:val="20"/>
          <w:szCs w:val="20"/>
        </w:rPr>
        <w:t>This sends a message that diversity is supported and creates a position responsible for managing diversity and inclusion and establishing metrics to track progress.</w:t>
      </w:r>
    </w:p>
    <w:p w:rsidR="00E07C8C" w:rsidRDefault="00E07C8C" w:rsidP="00E07C8C">
      <w:pPr>
        <w:pStyle w:val="Heading4"/>
        <w:spacing w:before="240" w:beforeAutospacing="0" w:after="24" w:afterAutospacing="0"/>
        <w:rPr>
          <w:rFonts w:ascii="FrutigerLTStd" w:hAnsi="FrutigerLTStd"/>
          <w:color w:val="000000"/>
        </w:rPr>
      </w:pPr>
      <w:r>
        <w:rPr>
          <w:rFonts w:ascii="FrutigerLTStd" w:hAnsi="FrutigerLTStd"/>
          <w:color w:val="000000"/>
        </w:rPr>
        <w:t>Melting the Glass Ceiling</w:t>
      </w:r>
    </w:p>
    <w:p w:rsidR="00E07C8C" w:rsidRDefault="00E07C8C" w:rsidP="00E07C8C">
      <w:pPr>
        <w:pStyle w:val="bch-tx-first"/>
        <w:spacing w:before="0" w:beforeAutospacing="0" w:after="0" w:afterAutospacing="0"/>
        <w:jc w:val="both"/>
        <w:rPr>
          <w:rFonts w:ascii="TimesLTStd" w:hAnsi="TimesLTStd"/>
          <w:color w:val="000000"/>
          <w:sz w:val="20"/>
          <w:szCs w:val="20"/>
        </w:rPr>
      </w:pPr>
      <w:r>
        <w:rPr>
          <w:rFonts w:ascii="TimesLTStd" w:hAnsi="TimesLTStd"/>
          <w:color w:val="000000"/>
          <w:sz w:val="20"/>
          <w:szCs w:val="20"/>
        </w:rPr>
        <w:t>A major development issue facing companies today is how to get women and minorities into upper-level management positions—how to break the glass ceiling. The</w:t>
      </w:r>
      <w:r>
        <w:rPr>
          <w:rStyle w:val="apple-converted-space"/>
          <w:rFonts w:ascii="TimesLTStd" w:hAnsi="TimesLTStd"/>
          <w:color w:val="000000"/>
          <w:sz w:val="20"/>
          <w:szCs w:val="20"/>
        </w:rPr>
        <w:t> </w:t>
      </w:r>
      <w:r>
        <w:rPr>
          <w:rStyle w:val="bold"/>
          <w:rFonts w:ascii="TimesLTStd" w:hAnsi="TimesLTStd"/>
          <w:b/>
          <w:bCs/>
          <w:color w:val="000000"/>
          <w:sz w:val="20"/>
          <w:szCs w:val="20"/>
        </w:rPr>
        <w:t>glass ceiling</w:t>
      </w:r>
      <w:r>
        <w:rPr>
          <w:rStyle w:val="apple-converted-space"/>
          <w:rFonts w:ascii="TimesLTStd" w:hAnsi="TimesLTStd"/>
          <w:color w:val="000000"/>
          <w:sz w:val="20"/>
          <w:szCs w:val="20"/>
        </w:rPr>
        <w:t> </w:t>
      </w:r>
      <w:r>
        <w:rPr>
          <w:rFonts w:ascii="TimesLTStd" w:hAnsi="TimesLTStd"/>
          <w:color w:val="000000"/>
          <w:sz w:val="20"/>
          <w:szCs w:val="20"/>
        </w:rPr>
        <w:t>refers to a barrier to advancement to higher-level jobs in the company that adversely affects women and minorities. Surveys show that in Fortune 500 companies, women represent less than 4 percent of CEOs and approximately 18 percent of executive officers.</w:t>
      </w:r>
      <w:hyperlink r:id="rId38" w:anchor="fn41" w:history="1">
        <w:r>
          <w:rPr>
            <w:rStyle w:val="Hyperlink"/>
            <w:rFonts w:ascii="TimesLTStd" w:hAnsi="TimesLTStd"/>
            <w:sz w:val="20"/>
            <w:szCs w:val="20"/>
            <w:vertAlign w:val="superscript"/>
          </w:rPr>
          <w:t>41</w:t>
        </w:r>
      </w:hyperlink>
      <w:r>
        <w:rPr>
          <w:rStyle w:val="apple-converted-space"/>
          <w:rFonts w:ascii="TimesLTStd" w:hAnsi="TimesLTStd"/>
          <w:color w:val="000000"/>
          <w:sz w:val="20"/>
          <w:szCs w:val="20"/>
        </w:rPr>
        <w:t> </w:t>
      </w:r>
      <w:r>
        <w:rPr>
          <w:rFonts w:ascii="TimesLTStd" w:hAnsi="TimesLTStd"/>
          <w:color w:val="000000"/>
          <w:sz w:val="20"/>
          <w:szCs w:val="20"/>
        </w:rPr>
        <w:t>Two-thirds of these companies lack specific programs targeted at the needs of women leaders, and 23 percent offer some activities or programs targeted to the needs of women. These activities include flexible scheduling, diversity recruiting, and coaching and mentoring. One of the dilemmas is that companies may be reluctant to treat women any differently than men from a leadership development perspective despite acknowledging that women lack executive sponsors or mentors, have insufficient experience, and need better work-life balance. This barrier may be due to stereotypes or company systems that adversely affect the development of women or minorities.</w:t>
      </w:r>
      <w:hyperlink r:id="rId39" w:anchor="fn42" w:history="1">
        <w:r>
          <w:rPr>
            <w:rStyle w:val="Hyperlink"/>
            <w:rFonts w:ascii="TimesLTStd" w:hAnsi="TimesLTStd"/>
            <w:sz w:val="20"/>
            <w:szCs w:val="20"/>
            <w:vertAlign w:val="superscript"/>
          </w:rPr>
          <w:t>42</w:t>
        </w:r>
      </w:hyperlink>
      <w:r>
        <w:rPr>
          <w:rStyle w:val="apple-converted-space"/>
          <w:rFonts w:ascii="TimesLTStd" w:hAnsi="TimesLTStd"/>
          <w:color w:val="000000"/>
          <w:sz w:val="20"/>
          <w:szCs w:val="20"/>
        </w:rPr>
        <w:t> </w:t>
      </w:r>
      <w:r>
        <w:rPr>
          <w:rFonts w:ascii="TimesLTStd" w:hAnsi="TimesLTStd"/>
          <w:color w:val="000000"/>
          <w:sz w:val="20"/>
          <w:szCs w:val="20"/>
        </w:rPr>
        <w:t>The glass ceiling is likely caused by lack of access to training programs, appropriate developmental job experiences, and developmental relationships (such as mentoring).</w:t>
      </w:r>
      <w:hyperlink r:id="rId40" w:anchor="fn43" w:history="1">
        <w:r>
          <w:rPr>
            <w:rStyle w:val="Hyperlink"/>
            <w:rFonts w:ascii="TimesLTStd" w:hAnsi="TimesLTStd"/>
            <w:sz w:val="20"/>
            <w:szCs w:val="20"/>
            <w:vertAlign w:val="superscript"/>
          </w:rPr>
          <w:t>43</w:t>
        </w:r>
      </w:hyperlink>
      <w:r>
        <w:rPr>
          <w:rStyle w:val="apple-converted-space"/>
          <w:rFonts w:ascii="TimesLTStd" w:hAnsi="TimesLTStd"/>
          <w:color w:val="000000"/>
          <w:sz w:val="20"/>
          <w:szCs w:val="20"/>
        </w:rPr>
        <w:t> </w:t>
      </w:r>
      <w:r>
        <w:rPr>
          <w:rFonts w:ascii="TimesLTStd" w:hAnsi="TimesLTStd"/>
          <w:color w:val="000000"/>
          <w:sz w:val="20"/>
          <w:szCs w:val="20"/>
        </w:rPr>
        <w:t>For example, Mary Barra made history when she became the first woman chief executive officer of General Motors, a global carmaker.</w:t>
      </w:r>
      <w:hyperlink r:id="rId41" w:anchor="fn44" w:history="1">
        <w:r>
          <w:rPr>
            <w:rStyle w:val="Hyperlink"/>
            <w:rFonts w:ascii="TimesLTStd" w:hAnsi="TimesLTStd"/>
            <w:sz w:val="20"/>
            <w:szCs w:val="20"/>
            <w:vertAlign w:val="superscript"/>
          </w:rPr>
          <w:t>44</w:t>
        </w:r>
      </w:hyperlink>
      <w:r>
        <w:rPr>
          <w:rStyle w:val="apple-converted-space"/>
          <w:rFonts w:ascii="TimesLTStd" w:hAnsi="TimesLTStd"/>
          <w:color w:val="000000"/>
          <w:sz w:val="20"/>
          <w:szCs w:val="20"/>
        </w:rPr>
        <w:t> </w:t>
      </w:r>
      <w:r>
        <w:rPr>
          <w:rFonts w:ascii="TimesLTStd" w:hAnsi="TimesLTStd"/>
          <w:color w:val="000000"/>
          <w:sz w:val="20"/>
          <w:szCs w:val="20"/>
        </w:rPr>
        <w:t>Prior to becoming CEO, Barra was in a product development job, an operational job critical to the company’s success. But 55 percent of women are in functional roles such as lawyers, chief of finance, or human resources, which may not put them in the career path needed to become a CEO. Women and minorities often have trouble finding mentors because of their lack of access to the “old-boy network,” managers’ preference to interact with other managers of similar status rather than with line employees, and intentional exclusion by managers who have negative stereotypes about women’s and minorities’ abilities, motivation, and job preferences.</w:t>
      </w:r>
      <w:hyperlink r:id="rId42" w:anchor="fn45" w:history="1">
        <w:r>
          <w:rPr>
            <w:rStyle w:val="Hyperlink"/>
            <w:rFonts w:ascii="TimesLTStd" w:hAnsi="TimesLTStd"/>
            <w:sz w:val="20"/>
            <w:szCs w:val="20"/>
            <w:vertAlign w:val="superscript"/>
          </w:rPr>
          <w:t>45</w:t>
        </w:r>
      </w:hyperlink>
      <w:r>
        <w:rPr>
          <w:rStyle w:val="apple-converted-space"/>
          <w:rFonts w:ascii="TimesLTStd" w:hAnsi="TimesLTStd"/>
          <w:color w:val="000000"/>
          <w:sz w:val="20"/>
          <w:szCs w:val="20"/>
        </w:rPr>
        <w:t> </w:t>
      </w:r>
      <w:r>
        <w:rPr>
          <w:rFonts w:ascii="TimesLTStd" w:hAnsi="TimesLTStd"/>
          <w:color w:val="000000"/>
          <w:sz w:val="20"/>
          <w:szCs w:val="20"/>
        </w:rPr>
        <w:t>Research has found no gender differences in access to job experiences involving transitions or creating change.</w:t>
      </w:r>
      <w:hyperlink r:id="rId43" w:anchor="fn46" w:history="1">
        <w:r>
          <w:rPr>
            <w:rStyle w:val="Hyperlink"/>
            <w:rFonts w:ascii="TimesLTStd" w:hAnsi="TimesLTStd"/>
            <w:sz w:val="20"/>
            <w:szCs w:val="20"/>
            <w:vertAlign w:val="superscript"/>
          </w:rPr>
          <w:t>46</w:t>
        </w:r>
      </w:hyperlink>
      <w:r>
        <w:rPr>
          <w:rStyle w:val="apple-converted-space"/>
          <w:rFonts w:ascii="TimesLTStd" w:hAnsi="TimesLTStd"/>
          <w:color w:val="000000"/>
          <w:sz w:val="20"/>
          <w:szCs w:val="20"/>
        </w:rPr>
        <w:t> </w:t>
      </w:r>
      <w:r>
        <w:rPr>
          <w:rFonts w:ascii="TimesLTStd" w:hAnsi="TimesLTStd"/>
          <w:color w:val="000000"/>
          <w:sz w:val="20"/>
          <w:szCs w:val="20"/>
        </w:rPr>
        <w:t xml:space="preserve">However, male managers receive significantly more assignments involving high levels of responsibility (high stakes, managing business diversity, handling external pressure, etc.) than female managers of similar ability and managerial level. Also, female </w:t>
      </w:r>
      <w:proofErr w:type="spellStart"/>
      <w:r>
        <w:rPr>
          <w:rFonts w:ascii="TimesLTStd" w:hAnsi="TimesLTStd"/>
          <w:color w:val="000000"/>
          <w:sz w:val="20"/>
          <w:szCs w:val="20"/>
        </w:rPr>
        <w:t>managers</w:t>
      </w:r>
      <w:proofErr w:type="spellEnd"/>
      <w:r>
        <w:rPr>
          <w:rFonts w:ascii="TimesLTStd" w:hAnsi="TimesLTStd"/>
          <w:color w:val="000000"/>
          <w:sz w:val="20"/>
          <w:szCs w:val="20"/>
        </w:rPr>
        <w:t xml:space="preserve"> report experiencing more challenges due to lack of personal support (which makes it more difficult to cope with stress) and appreciation for their contributions than male managers. Career encouragement from peers and senior managers does help women advance to higher management levels.</w:t>
      </w:r>
      <w:hyperlink r:id="rId44" w:anchor="fn47" w:history="1">
        <w:r>
          <w:rPr>
            <w:rStyle w:val="Hyperlink"/>
            <w:rFonts w:ascii="TimesLTStd" w:hAnsi="TimesLTStd"/>
            <w:sz w:val="20"/>
            <w:szCs w:val="20"/>
            <w:vertAlign w:val="superscript"/>
          </w:rPr>
          <w:t>47</w:t>
        </w:r>
      </w:hyperlink>
      <w:r>
        <w:rPr>
          <w:rStyle w:val="apple-converted-space"/>
          <w:rFonts w:ascii="TimesLTStd" w:hAnsi="TimesLTStd"/>
          <w:color w:val="000000"/>
          <w:sz w:val="20"/>
          <w:szCs w:val="20"/>
        </w:rPr>
        <w:t> </w:t>
      </w:r>
      <w:r>
        <w:rPr>
          <w:rFonts w:ascii="TimesLTStd" w:hAnsi="TimesLTStd"/>
          <w:color w:val="000000"/>
          <w:sz w:val="20"/>
          <w:szCs w:val="20"/>
        </w:rPr>
        <w:t>Managers making developmental assignments need to carefully consider whether gender biases or stereotypes are influencing the types of assignments given to women versus men.</w:t>
      </w:r>
    </w:p>
    <w:p w:rsidR="00E07C8C" w:rsidRDefault="00E07C8C" w:rsidP="00E07C8C">
      <w:pPr>
        <w:pStyle w:val="bch-tx"/>
        <w:spacing w:before="0" w:beforeAutospacing="0" w:after="0" w:afterAutospacing="0"/>
        <w:ind w:firstLine="240"/>
        <w:jc w:val="both"/>
        <w:rPr>
          <w:rFonts w:ascii="TimesLTStd" w:hAnsi="TimesLTStd"/>
          <w:color w:val="000000"/>
          <w:sz w:val="20"/>
          <w:szCs w:val="20"/>
        </w:rPr>
      </w:pPr>
      <w:r>
        <w:rPr>
          <w:rFonts w:ascii="TimesLTStd" w:hAnsi="TimesLTStd"/>
          <w:color w:val="000000"/>
          <w:sz w:val="20"/>
          <w:szCs w:val="20"/>
        </w:rPr>
        <w:t>AstraZeneca, a biopharmaceutical company, helps develop women leaders through providing workshops, formal mentoring programs, and leadership courses. In its commercial operations an eighteen-month development program is available for mid-level employees. Fifty percent of those enrolled in the development program are female.</w:t>
      </w:r>
      <w:hyperlink r:id="rId45" w:anchor="fn48" w:history="1">
        <w:r>
          <w:rPr>
            <w:rStyle w:val="Hyperlink"/>
            <w:rFonts w:ascii="TimesLTStd" w:hAnsi="TimesLTStd"/>
            <w:sz w:val="20"/>
            <w:szCs w:val="20"/>
            <w:vertAlign w:val="superscript"/>
          </w:rPr>
          <w:t>48</w:t>
        </w:r>
      </w:hyperlink>
      <w:r>
        <w:rPr>
          <w:rStyle w:val="apple-converted-space"/>
          <w:rFonts w:ascii="TimesLTStd" w:hAnsi="TimesLTStd"/>
          <w:color w:val="000000"/>
          <w:sz w:val="20"/>
          <w:szCs w:val="20"/>
        </w:rPr>
        <w:t> </w:t>
      </w:r>
      <w:r>
        <w:rPr>
          <w:rFonts w:ascii="TimesLTStd" w:hAnsi="TimesLTStd"/>
          <w:color w:val="000000"/>
          <w:sz w:val="20"/>
          <w:szCs w:val="20"/>
        </w:rPr>
        <w:t>Johnson &amp; Johnson (J&amp;J) has more than doubled women at the corporate executive level to 33 percent and seen a 29 percent increase in the number of women senior managers. J&amp;J has taken steps to get women into important positions they need to grow and develop to meet their career goals and to position them for top management and executive positions.</w:t>
      </w:r>
      <w:hyperlink r:id="rId46" w:anchor="fn49" w:history="1">
        <w:r>
          <w:rPr>
            <w:rStyle w:val="Hyperlink"/>
            <w:rFonts w:ascii="TimesLTStd" w:hAnsi="TimesLTStd"/>
            <w:sz w:val="20"/>
            <w:szCs w:val="20"/>
            <w:vertAlign w:val="superscript"/>
          </w:rPr>
          <w:t>49</w:t>
        </w:r>
      </w:hyperlink>
      <w:r>
        <w:rPr>
          <w:rFonts w:ascii="TimesLTStd" w:hAnsi="TimesLTStd"/>
          <w:color w:val="000000"/>
          <w:sz w:val="20"/>
          <w:szCs w:val="20"/>
        </w:rPr>
        <w:t>J&amp;J is willing to take risks on employees wanting to develop skills and their careers through providing stretch assignments, mentoring, and coaching. For example, early in her career a woman who is now a vice president at J&amp;J was sent to Switzerland as part of a team to launch a new business. She also spent nine years working in manufacturing, supply chain, and planning before switching to marketing based on the support of J&amp;J’s vice president for marketing who had recognized her skills and potential. J&amp;J also supports women’s career progress by allowing them to turn down an opportunity for a leadership position, promotion, or other opportunity if other priorities, such as family, are more important at that point in time in their career. Women are not seen as disinterested in their career as a result of turning down such opportunities but are considered again when they are available. The Economical Insurance Group (TEIG), one of the largest property and casualty insurance groups in Canada, women’s leadership development program includes an instructor-led workshop focusing on the fundamentals of achievement, leadership, and legacy specific to women in the company.</w:t>
      </w:r>
      <w:hyperlink r:id="rId47" w:anchor="fn50" w:history="1">
        <w:r>
          <w:rPr>
            <w:rStyle w:val="Hyperlink"/>
            <w:rFonts w:ascii="TimesLTStd" w:hAnsi="TimesLTStd"/>
            <w:sz w:val="20"/>
            <w:szCs w:val="20"/>
            <w:vertAlign w:val="superscript"/>
          </w:rPr>
          <w:t>50</w:t>
        </w:r>
      </w:hyperlink>
      <w:r>
        <w:rPr>
          <w:rStyle w:val="apple-converted-space"/>
          <w:rFonts w:ascii="TimesLTStd" w:hAnsi="TimesLTStd"/>
          <w:color w:val="000000"/>
          <w:sz w:val="20"/>
          <w:szCs w:val="20"/>
        </w:rPr>
        <w:t> </w:t>
      </w:r>
      <w:r>
        <w:rPr>
          <w:rFonts w:ascii="TimesLTStd" w:hAnsi="TimesLTStd"/>
          <w:color w:val="000000"/>
          <w:sz w:val="20"/>
          <w:szCs w:val="20"/>
        </w:rPr>
        <w:t>Following the workshop, female leaders are invited to participate in the TEIG Women’s Leadership Network, held quarterly. The network meetings use the company’s virtual classroom to discuss business ideas and challenges unique to women and to share leadership experiences.</w:t>
      </w:r>
      <w:r>
        <w:rPr>
          <w:rStyle w:val="apple-converted-space"/>
          <w:rFonts w:ascii="TimesLTStd" w:hAnsi="TimesLTStd"/>
          <w:color w:val="000000"/>
          <w:sz w:val="20"/>
          <w:szCs w:val="20"/>
        </w:rPr>
        <w:t> </w:t>
      </w:r>
      <w:hyperlink r:id="rId48" w:anchor="tab10.4" w:history="1">
        <w:r>
          <w:rPr>
            <w:rStyle w:val="Hyperlink"/>
            <w:rFonts w:ascii="TimesLTStd" w:hAnsi="TimesLTStd"/>
            <w:sz w:val="20"/>
            <w:szCs w:val="20"/>
          </w:rPr>
          <w:t>Table 10.4</w:t>
        </w:r>
      </w:hyperlink>
      <w:r>
        <w:rPr>
          <w:rStyle w:val="apple-converted-space"/>
          <w:rFonts w:ascii="TimesLTStd" w:hAnsi="TimesLTStd"/>
          <w:color w:val="000000"/>
          <w:sz w:val="20"/>
          <w:szCs w:val="20"/>
        </w:rPr>
        <w:t> </w:t>
      </w:r>
      <w:r>
        <w:rPr>
          <w:rFonts w:ascii="TimesLTStd" w:hAnsi="TimesLTStd"/>
          <w:color w:val="000000"/>
          <w:sz w:val="20"/>
          <w:szCs w:val="20"/>
        </w:rPr>
        <w:t>provides recommendations for melting the glass ceiling and helping retain talented women.</w:t>
      </w:r>
    </w:p>
    <w:p w:rsidR="00DD00AE" w:rsidRDefault="00DD00AE" w:rsidP="00DD00AE">
      <w:pPr>
        <w:pStyle w:val="bch-tx"/>
        <w:spacing w:before="0" w:beforeAutospacing="0" w:after="0" w:afterAutospacing="0"/>
        <w:jc w:val="both"/>
        <w:rPr>
          <w:rFonts w:ascii="TimesLTStd" w:hAnsi="TimesLTStd"/>
          <w:color w:val="000000"/>
          <w:sz w:val="20"/>
          <w:szCs w:val="20"/>
        </w:rPr>
      </w:pPr>
    </w:p>
    <w:p w:rsidR="008B5FEF" w:rsidRDefault="008B5FEF" w:rsidP="0074721C"/>
    <w:p w:rsidR="0074721C" w:rsidRPr="0074721C" w:rsidRDefault="0074721C" w:rsidP="0074721C"/>
    <w:sectPr w:rsidR="0074721C" w:rsidRPr="007472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Roboto">
    <w:altName w:val="Arial"/>
    <w:panose1 w:val="00000000000000000000"/>
    <w:charset w:val="00"/>
    <w:family w:val="roman"/>
    <w:notTrueType/>
    <w:pitch w:val="default"/>
  </w:font>
  <w:font w:name="TimesLTStd">
    <w:altName w:val="Times New Roman"/>
    <w:panose1 w:val="00000000000000000000"/>
    <w:charset w:val="00"/>
    <w:family w:val="roman"/>
    <w:notTrueType/>
    <w:pitch w:val="default"/>
  </w:font>
  <w:font w:name="FrutigerLTSt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1C"/>
    <w:rsid w:val="00303A24"/>
    <w:rsid w:val="0074721C"/>
    <w:rsid w:val="008713D2"/>
    <w:rsid w:val="008B5FEF"/>
    <w:rsid w:val="008F0937"/>
    <w:rsid w:val="00947883"/>
    <w:rsid w:val="00D42403"/>
    <w:rsid w:val="00DD00AE"/>
    <w:rsid w:val="00E0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691FF"/>
  <w15:chartTrackingRefBased/>
  <w15:docId w15:val="{74AF2B38-B23F-4453-93DF-0AACD661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4">
    <w:name w:val="heading 4"/>
    <w:basedOn w:val="Normal"/>
    <w:link w:val="Heading4Char"/>
    <w:uiPriority w:val="9"/>
    <w:qFormat/>
    <w:rsid w:val="008B5FE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472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21C"/>
    <w:rPr>
      <w:rFonts w:asciiTheme="majorHAnsi" w:eastAsiaTheme="majorEastAsia" w:hAnsiTheme="majorHAnsi" w:cstheme="majorBidi"/>
      <w:spacing w:val="-10"/>
      <w:kern w:val="28"/>
      <w:sz w:val="56"/>
      <w:szCs w:val="56"/>
    </w:rPr>
  </w:style>
  <w:style w:type="character" w:customStyle="1" w:styleId="Heading4Char">
    <w:name w:val="Heading 4 Char"/>
    <w:basedOn w:val="DefaultParagraphFont"/>
    <w:link w:val="Heading4"/>
    <w:uiPriority w:val="9"/>
    <w:rsid w:val="008B5FEF"/>
    <w:rPr>
      <w:rFonts w:ascii="Times New Roman" w:eastAsia="Times New Roman" w:hAnsi="Times New Roman" w:cs="Times New Roman"/>
      <w:b/>
      <w:bCs/>
      <w:sz w:val="24"/>
      <w:szCs w:val="24"/>
    </w:rPr>
  </w:style>
  <w:style w:type="paragraph" w:customStyle="1" w:styleId="bch-tx-first">
    <w:name w:val="bch-tx-first"/>
    <w:basedOn w:val="Normal"/>
    <w:rsid w:val="008B5F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5FEF"/>
    <w:rPr>
      <w:color w:val="0000FF"/>
      <w:u w:val="single"/>
    </w:rPr>
  </w:style>
  <w:style w:type="character" w:customStyle="1" w:styleId="apple-converted-space">
    <w:name w:val="apple-converted-space"/>
    <w:basedOn w:val="DefaultParagraphFont"/>
    <w:rsid w:val="008B5FEF"/>
  </w:style>
  <w:style w:type="paragraph" w:customStyle="1" w:styleId="bch-tx">
    <w:name w:val="bch-tx"/>
    <w:basedOn w:val="Normal"/>
    <w:rsid w:val="008B5F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B5FEF"/>
    <w:rPr>
      <w:i/>
      <w:iCs/>
    </w:rPr>
  </w:style>
  <w:style w:type="character" w:customStyle="1" w:styleId="retrieved-from">
    <w:name w:val="retrieved-from"/>
    <w:basedOn w:val="DefaultParagraphFont"/>
    <w:rsid w:val="008B5FEF"/>
  </w:style>
  <w:style w:type="character" w:customStyle="1" w:styleId="pagebreak">
    <w:name w:val="pagebreak"/>
    <w:basedOn w:val="DefaultParagraphFont"/>
    <w:rsid w:val="008B5FEF"/>
  </w:style>
  <w:style w:type="character" w:customStyle="1" w:styleId="bold">
    <w:name w:val="bold"/>
    <w:basedOn w:val="DefaultParagraphFont"/>
    <w:rsid w:val="008B5FEF"/>
  </w:style>
  <w:style w:type="character" w:customStyle="1" w:styleId="italic">
    <w:name w:val="italic"/>
    <w:basedOn w:val="DefaultParagraphFont"/>
    <w:rsid w:val="008B5F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70272">
      <w:bodyDiv w:val="1"/>
      <w:marLeft w:val="0"/>
      <w:marRight w:val="0"/>
      <w:marTop w:val="0"/>
      <w:marBottom w:val="0"/>
      <w:divBdr>
        <w:top w:val="none" w:sz="0" w:space="0" w:color="auto"/>
        <w:left w:val="none" w:sz="0" w:space="0" w:color="auto"/>
        <w:bottom w:val="none" w:sz="0" w:space="0" w:color="auto"/>
        <w:right w:val="none" w:sz="0" w:space="0" w:color="auto"/>
      </w:divBdr>
    </w:div>
    <w:div w:id="565842764">
      <w:bodyDiv w:val="1"/>
      <w:marLeft w:val="0"/>
      <w:marRight w:val="0"/>
      <w:marTop w:val="0"/>
      <w:marBottom w:val="0"/>
      <w:divBdr>
        <w:top w:val="none" w:sz="0" w:space="0" w:color="auto"/>
        <w:left w:val="none" w:sz="0" w:space="0" w:color="auto"/>
        <w:bottom w:val="none" w:sz="0" w:space="0" w:color="auto"/>
        <w:right w:val="none" w:sz="0" w:space="0" w:color="auto"/>
      </w:divBdr>
    </w:div>
    <w:div w:id="626011357">
      <w:bodyDiv w:val="1"/>
      <w:marLeft w:val="0"/>
      <w:marRight w:val="0"/>
      <w:marTop w:val="0"/>
      <w:marBottom w:val="0"/>
      <w:divBdr>
        <w:top w:val="none" w:sz="0" w:space="0" w:color="auto"/>
        <w:left w:val="none" w:sz="0" w:space="0" w:color="auto"/>
        <w:bottom w:val="none" w:sz="0" w:space="0" w:color="auto"/>
        <w:right w:val="none" w:sz="0" w:space="0" w:color="auto"/>
      </w:divBdr>
    </w:div>
    <w:div w:id="648438899">
      <w:bodyDiv w:val="1"/>
      <w:marLeft w:val="0"/>
      <w:marRight w:val="0"/>
      <w:marTop w:val="0"/>
      <w:marBottom w:val="0"/>
      <w:divBdr>
        <w:top w:val="none" w:sz="0" w:space="0" w:color="auto"/>
        <w:left w:val="none" w:sz="0" w:space="0" w:color="auto"/>
        <w:bottom w:val="none" w:sz="0" w:space="0" w:color="auto"/>
        <w:right w:val="none" w:sz="0" w:space="0" w:color="auto"/>
      </w:divBdr>
    </w:div>
    <w:div w:id="806895459">
      <w:bodyDiv w:val="1"/>
      <w:marLeft w:val="0"/>
      <w:marRight w:val="0"/>
      <w:marTop w:val="0"/>
      <w:marBottom w:val="0"/>
      <w:divBdr>
        <w:top w:val="none" w:sz="0" w:space="0" w:color="auto"/>
        <w:left w:val="none" w:sz="0" w:space="0" w:color="auto"/>
        <w:bottom w:val="none" w:sz="0" w:space="0" w:color="auto"/>
        <w:right w:val="none" w:sz="0" w:space="0" w:color="auto"/>
      </w:divBdr>
    </w:div>
    <w:div w:id="902983674">
      <w:bodyDiv w:val="1"/>
      <w:marLeft w:val="0"/>
      <w:marRight w:val="0"/>
      <w:marTop w:val="0"/>
      <w:marBottom w:val="0"/>
      <w:divBdr>
        <w:top w:val="none" w:sz="0" w:space="0" w:color="auto"/>
        <w:left w:val="none" w:sz="0" w:space="0" w:color="auto"/>
        <w:bottom w:val="none" w:sz="0" w:space="0" w:color="auto"/>
        <w:right w:val="none" w:sz="0" w:space="0" w:color="auto"/>
      </w:divBdr>
    </w:div>
    <w:div w:id="1029723266">
      <w:bodyDiv w:val="1"/>
      <w:marLeft w:val="0"/>
      <w:marRight w:val="0"/>
      <w:marTop w:val="0"/>
      <w:marBottom w:val="0"/>
      <w:divBdr>
        <w:top w:val="none" w:sz="0" w:space="0" w:color="auto"/>
        <w:left w:val="none" w:sz="0" w:space="0" w:color="auto"/>
        <w:bottom w:val="none" w:sz="0" w:space="0" w:color="auto"/>
        <w:right w:val="none" w:sz="0" w:space="0" w:color="auto"/>
      </w:divBdr>
    </w:div>
    <w:div w:id="1193962213">
      <w:bodyDiv w:val="1"/>
      <w:marLeft w:val="0"/>
      <w:marRight w:val="0"/>
      <w:marTop w:val="0"/>
      <w:marBottom w:val="0"/>
      <w:divBdr>
        <w:top w:val="none" w:sz="0" w:space="0" w:color="auto"/>
        <w:left w:val="none" w:sz="0" w:space="0" w:color="auto"/>
        <w:bottom w:val="none" w:sz="0" w:space="0" w:color="auto"/>
        <w:right w:val="none" w:sz="0" w:space="0" w:color="auto"/>
      </w:divBdr>
    </w:div>
    <w:div w:id="1217427445">
      <w:bodyDiv w:val="1"/>
      <w:marLeft w:val="0"/>
      <w:marRight w:val="0"/>
      <w:marTop w:val="0"/>
      <w:marBottom w:val="0"/>
      <w:divBdr>
        <w:top w:val="none" w:sz="0" w:space="0" w:color="auto"/>
        <w:left w:val="none" w:sz="0" w:space="0" w:color="auto"/>
        <w:bottom w:val="none" w:sz="0" w:space="0" w:color="auto"/>
        <w:right w:val="none" w:sz="0" w:space="0" w:color="auto"/>
      </w:divBdr>
    </w:div>
    <w:div w:id="190579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igsaw.vitalsource.com/books/9780077774547/epub/OEBPS/chapter10.xhtml" TargetMode="External"/><Relationship Id="rId18" Type="http://schemas.openxmlformats.org/officeDocument/2006/relationships/hyperlink" Target="https://jigsaw.vitalsource.com/books/9780077774547/epub/OEBPS/chapter10.xhtml" TargetMode="External"/><Relationship Id="rId26" Type="http://schemas.openxmlformats.org/officeDocument/2006/relationships/hyperlink" Target="https://jigsaw.vitalsource.com/books/9780077774547/epub/OEBPS/chapter10.xhtml" TargetMode="External"/><Relationship Id="rId39" Type="http://schemas.openxmlformats.org/officeDocument/2006/relationships/hyperlink" Target="https://jigsaw.vitalsource.com/books/9780077774547/epub/OEBPS/chapter10.xhtml" TargetMode="External"/><Relationship Id="rId3" Type="http://schemas.openxmlformats.org/officeDocument/2006/relationships/webSettings" Target="webSettings.xml"/><Relationship Id="rId21" Type="http://schemas.openxmlformats.org/officeDocument/2006/relationships/hyperlink" Target="http://www.irs.gov/" TargetMode="External"/><Relationship Id="rId34" Type="http://schemas.openxmlformats.org/officeDocument/2006/relationships/hyperlink" Target="https://jigsaw.vitalsource.com/books/9780077774547/epub/OEBPS/chapter10.xhtml" TargetMode="External"/><Relationship Id="rId42" Type="http://schemas.openxmlformats.org/officeDocument/2006/relationships/hyperlink" Target="https://jigsaw.vitalsource.com/books/9780077774547/epub/OEBPS/chapter10.xhtml" TargetMode="External"/><Relationship Id="rId47" Type="http://schemas.openxmlformats.org/officeDocument/2006/relationships/hyperlink" Target="https://jigsaw.vitalsource.com/books/9780077774547/epub/OEBPS/chapter10.xhtml" TargetMode="External"/><Relationship Id="rId50" Type="http://schemas.openxmlformats.org/officeDocument/2006/relationships/theme" Target="theme/theme1.xml"/><Relationship Id="rId7" Type="http://schemas.openxmlformats.org/officeDocument/2006/relationships/hyperlink" Target="https://jigsaw.vitalsource.com/books/9780077774547/epub/OEBPS/chapter10.xhtml" TargetMode="External"/><Relationship Id="rId12" Type="http://schemas.openxmlformats.org/officeDocument/2006/relationships/hyperlink" Target="https://jigsaw.vitalsource.com/books/9780077774547/epub/OEBPS/chapter10.xhtml" TargetMode="External"/><Relationship Id="rId17" Type="http://schemas.openxmlformats.org/officeDocument/2006/relationships/hyperlink" Target="https://jigsaw.vitalsource.com/books/9780077774547/epub/OEBPS/chapter10.xhtml" TargetMode="External"/><Relationship Id="rId25" Type="http://schemas.openxmlformats.org/officeDocument/2006/relationships/hyperlink" Target="https://jigsaw.vitalsource.com/books/9780077774547/epub/OEBPS/chapter10.xhtml" TargetMode="External"/><Relationship Id="rId33" Type="http://schemas.openxmlformats.org/officeDocument/2006/relationships/hyperlink" Target="https://jigsaw.vitalsource.com/books/9780077774547/epub/OEBPS/chapter10.xhtml" TargetMode="External"/><Relationship Id="rId38" Type="http://schemas.openxmlformats.org/officeDocument/2006/relationships/hyperlink" Target="https://jigsaw.vitalsource.com/books/9780077774547/epub/OEBPS/chapter10.xhtml" TargetMode="External"/><Relationship Id="rId46" Type="http://schemas.openxmlformats.org/officeDocument/2006/relationships/hyperlink" Target="https://jigsaw.vitalsource.com/books/9780077774547/epub/OEBPS/chapter10.xhtml" TargetMode="External"/><Relationship Id="rId2" Type="http://schemas.openxmlformats.org/officeDocument/2006/relationships/settings" Target="settings.xml"/><Relationship Id="rId16" Type="http://schemas.openxmlformats.org/officeDocument/2006/relationships/hyperlink" Target="https://jigsaw.vitalsource.com/books/9780077774547/epub/OEBPS/chapter10.xhtml" TargetMode="External"/><Relationship Id="rId20" Type="http://schemas.openxmlformats.org/officeDocument/2006/relationships/hyperlink" Target="https://jigsaw.vitalsource.com/books/9780077774547/epub/OEBPS/chapter03.xhtml" TargetMode="External"/><Relationship Id="rId29" Type="http://schemas.openxmlformats.org/officeDocument/2006/relationships/hyperlink" Target="https://jigsaw.vitalsource.com/books/9780077774547/epub/OEBPS/chapter10.xhtml" TargetMode="External"/><Relationship Id="rId41" Type="http://schemas.openxmlformats.org/officeDocument/2006/relationships/hyperlink" Target="https://jigsaw.vitalsource.com/books/9780077774547/epub/OEBPS/chapter10.xhtml" TargetMode="External"/><Relationship Id="rId1" Type="http://schemas.openxmlformats.org/officeDocument/2006/relationships/styles" Target="styles.xml"/><Relationship Id="rId6" Type="http://schemas.openxmlformats.org/officeDocument/2006/relationships/hyperlink" Target="https://jigsaw.vitalsource.com/books/9780077774547/epub/OEBPS/chapter10.xhtml" TargetMode="External"/><Relationship Id="rId11" Type="http://schemas.openxmlformats.org/officeDocument/2006/relationships/hyperlink" Target="http://www.copyright.com/" TargetMode="External"/><Relationship Id="rId24" Type="http://schemas.openxmlformats.org/officeDocument/2006/relationships/hyperlink" Target="https://jigsaw.vitalsource.com/books/9780077774547/epub/OEBPS/chapter10.xhtml" TargetMode="External"/><Relationship Id="rId32" Type="http://schemas.openxmlformats.org/officeDocument/2006/relationships/hyperlink" Target="https://jigsaw.vitalsource.com/books/9780077774547/epub/OEBPS/chapter10.xhtml" TargetMode="External"/><Relationship Id="rId37" Type="http://schemas.openxmlformats.org/officeDocument/2006/relationships/hyperlink" Target="https://jigsaw.vitalsource.com/books/9780077774547/epub/OEBPS/chapter10.xhtml" TargetMode="External"/><Relationship Id="rId40" Type="http://schemas.openxmlformats.org/officeDocument/2006/relationships/hyperlink" Target="https://jigsaw.vitalsource.com/books/9780077774547/epub/OEBPS/chapter10.xhtml" TargetMode="External"/><Relationship Id="rId45" Type="http://schemas.openxmlformats.org/officeDocument/2006/relationships/hyperlink" Target="https://jigsaw.vitalsource.com/books/9780077774547/epub/OEBPS/chapter10.xhtml" TargetMode="External"/><Relationship Id="rId5" Type="http://schemas.openxmlformats.org/officeDocument/2006/relationships/hyperlink" Target="https://jigsaw.vitalsource.com/books/9780077774547/epub/OEBPS/chapter10.xhtml" TargetMode="External"/><Relationship Id="rId15" Type="http://schemas.openxmlformats.org/officeDocument/2006/relationships/hyperlink" Target="https://jigsaw.vitalsource.com/books/9780077774547/epub/OEBPS/chapter10.xhtml" TargetMode="External"/><Relationship Id="rId23" Type="http://schemas.openxmlformats.org/officeDocument/2006/relationships/hyperlink" Target="https://jigsaw.vitalsource.com/books/9780077774547/epub/OEBPS/chapter10.xhtml" TargetMode="External"/><Relationship Id="rId28" Type="http://schemas.openxmlformats.org/officeDocument/2006/relationships/hyperlink" Target="https://jigsaw.vitalsource.com/books/9780077774547/epub/OEBPS/chapter10.xhtml" TargetMode="External"/><Relationship Id="rId36" Type="http://schemas.openxmlformats.org/officeDocument/2006/relationships/hyperlink" Target="https://jigsaw.vitalsource.com/books/9780077774547/epub/OEBPS/chapter10.xhtml" TargetMode="External"/><Relationship Id="rId49" Type="http://schemas.openxmlformats.org/officeDocument/2006/relationships/fontTable" Target="fontTable.xml"/><Relationship Id="rId10" Type="http://schemas.openxmlformats.org/officeDocument/2006/relationships/hyperlink" Target="https://jigsaw.vitalsource.com/books/9780077774547/epub/OEBPS/chapter10.xhtml" TargetMode="External"/><Relationship Id="rId19" Type="http://schemas.openxmlformats.org/officeDocument/2006/relationships/hyperlink" Target="https://jigsaw.vitalsource.com/books/9780077774547/epub/OEBPS/chapter10.xhtml" TargetMode="External"/><Relationship Id="rId31" Type="http://schemas.openxmlformats.org/officeDocument/2006/relationships/hyperlink" Target="https://jigsaw.vitalsource.com/books/9780077774547/epub/OEBPS/chapter10.xhtml" TargetMode="External"/><Relationship Id="rId44" Type="http://schemas.openxmlformats.org/officeDocument/2006/relationships/hyperlink" Target="https://jigsaw.vitalsource.com/books/9780077774547/epub/OEBPS/chapter10.xhtml" TargetMode="External"/><Relationship Id="rId4" Type="http://schemas.openxmlformats.org/officeDocument/2006/relationships/hyperlink" Target="https://jigsaw.vitalsource.com/books/9780077774547/epub/OEBPS/chapter10.xhtml" TargetMode="External"/><Relationship Id="rId9" Type="http://schemas.openxmlformats.org/officeDocument/2006/relationships/hyperlink" Target="https://jigsaw.vitalsource.com/books/9780077774547/epub/OEBPS/chapter10.xhtml" TargetMode="External"/><Relationship Id="rId14" Type="http://schemas.openxmlformats.org/officeDocument/2006/relationships/hyperlink" Target="https://jigsaw.vitalsource.com/books/9780077774547/epub/OEBPS/chapter10.xhtml" TargetMode="External"/><Relationship Id="rId22" Type="http://schemas.openxmlformats.org/officeDocument/2006/relationships/hyperlink" Target="https://jigsaw.vitalsource.com/books/9780077774547/epub/OEBPS/chapter10.xhtml" TargetMode="External"/><Relationship Id="rId27" Type="http://schemas.openxmlformats.org/officeDocument/2006/relationships/hyperlink" Target="https://jigsaw.vitalsource.com/books/9780077774547/epub/OEBPS/chapter10.xhtml" TargetMode="External"/><Relationship Id="rId30" Type="http://schemas.openxmlformats.org/officeDocument/2006/relationships/hyperlink" Target="https://jigsaw.vitalsource.com/books/9780077774547/epub/OEBPS/chapter10.xhtml" TargetMode="External"/><Relationship Id="rId35" Type="http://schemas.openxmlformats.org/officeDocument/2006/relationships/hyperlink" Target="https://jigsaw.vitalsource.com/books/9780077774547/epub/OEBPS/chapter10.xhtml" TargetMode="External"/><Relationship Id="rId43" Type="http://schemas.openxmlformats.org/officeDocument/2006/relationships/hyperlink" Target="https://jigsaw.vitalsource.com/books/9780077774547/epub/OEBPS/chapter10.xhtml" TargetMode="External"/><Relationship Id="rId48" Type="http://schemas.openxmlformats.org/officeDocument/2006/relationships/hyperlink" Target="https://jigsaw.vitalsource.com/books/9780077774547/epub/OEBPS/chapter10.xhtml" TargetMode="External"/><Relationship Id="rId8" Type="http://schemas.openxmlformats.org/officeDocument/2006/relationships/hyperlink" Target="https://jigsaw.vitalsource.com/books/9780077774547/epub/OEBPS/chapter10.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Pages>
  <Words>6173</Words>
  <Characters>35192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Gena Escamilla</dc:creator>
  <cp:keywords/>
  <dc:description/>
  <cp:lastModifiedBy>Gena Escamilla</cp:lastModifiedBy>
  <cp:revision>1</cp:revision>
  <dcterms:created xsi:type="dcterms:W3CDTF">2017-05-09T21:41:00Z</dcterms:created>
  <dcterms:modified xsi:type="dcterms:W3CDTF">2017-05-09T22:36:00Z</dcterms:modified>
</cp:coreProperties>
</file>